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01" w:rsidRDefault="007F6457">
      <w:pPr>
        <w:jc w:val="center"/>
      </w:pPr>
      <w:r>
        <w:rPr>
          <w:sz w:val="36"/>
          <w:szCs w:val="36"/>
        </w:rPr>
        <w:t>DeIC HPC TekRef group report on the</w:t>
      </w:r>
    </w:p>
    <w:p w:rsidR="009C0701" w:rsidRDefault="009C0701">
      <w:pPr>
        <w:jc w:val="center"/>
        <w:rPr>
          <w:sz w:val="36"/>
          <w:szCs w:val="36"/>
        </w:rPr>
      </w:pPr>
    </w:p>
    <w:p w:rsidR="009C0701" w:rsidRDefault="007F6457">
      <w:pPr>
        <w:jc w:val="center"/>
        <w:rPr>
          <w:b/>
          <w:bCs/>
          <w:sz w:val="40"/>
          <w:szCs w:val="40"/>
        </w:rPr>
      </w:pPr>
      <w:r>
        <w:rPr>
          <w:b/>
          <w:bCs/>
          <w:sz w:val="40"/>
          <w:szCs w:val="40"/>
        </w:rPr>
        <w:t xml:space="preserve">Supercomputing </w:t>
      </w:r>
      <w:r w:rsidR="005F5D65">
        <w:rPr>
          <w:b/>
          <w:bCs/>
          <w:sz w:val="40"/>
          <w:szCs w:val="40"/>
        </w:rPr>
        <w:t>2022</w:t>
      </w:r>
      <w:r>
        <w:rPr>
          <w:b/>
          <w:bCs/>
          <w:sz w:val="40"/>
          <w:szCs w:val="40"/>
        </w:rPr>
        <w:t xml:space="preserve"> conference</w:t>
      </w:r>
    </w:p>
    <w:p w:rsidR="009C0701" w:rsidRDefault="009C0701">
      <w:pPr>
        <w:jc w:val="center"/>
        <w:rPr>
          <w:sz w:val="36"/>
          <w:szCs w:val="36"/>
        </w:rPr>
      </w:pPr>
    </w:p>
    <w:p w:rsidR="009C0701" w:rsidRDefault="007F6457">
      <w:pPr>
        <w:jc w:val="center"/>
      </w:pPr>
      <w:r>
        <w:rPr>
          <w:sz w:val="28"/>
          <w:szCs w:val="28"/>
        </w:rPr>
        <w:t xml:space="preserve">Dallas, Texas, USA, November </w:t>
      </w:r>
      <w:r w:rsidR="00C23BBF">
        <w:rPr>
          <w:sz w:val="28"/>
          <w:szCs w:val="28"/>
        </w:rPr>
        <w:t>2022</w:t>
      </w:r>
      <w:r>
        <w:rPr>
          <w:sz w:val="28"/>
          <w:szCs w:val="28"/>
        </w:rPr>
        <w:t>.</w:t>
      </w:r>
    </w:p>
    <w:p w:rsidR="009C0701" w:rsidRDefault="009C0701"/>
    <w:p w:rsidR="009C0701" w:rsidRDefault="007F6457">
      <w:pPr>
        <w:rPr>
          <w:b/>
          <w:bCs/>
        </w:rPr>
      </w:pPr>
      <w:r>
        <w:rPr>
          <w:b/>
          <w:bCs/>
        </w:rPr>
        <w:t>Participants:</w:t>
      </w:r>
    </w:p>
    <w:p w:rsidR="009C0701" w:rsidRDefault="009C0701">
      <w:pPr>
        <w:rPr>
          <w:b/>
          <w:bCs/>
        </w:rPr>
      </w:pPr>
    </w:p>
    <w:p w:rsidR="009C0701" w:rsidRDefault="007F6457">
      <w:pPr>
        <w:numPr>
          <w:ilvl w:val="0"/>
          <w:numId w:val="2"/>
        </w:numPr>
        <w:rPr>
          <w:lang w:val="da-DK"/>
        </w:rPr>
      </w:pPr>
      <w:r w:rsidRPr="008D7894">
        <w:rPr>
          <w:lang w:val="da-DK"/>
        </w:rPr>
        <w:t xml:space="preserve">Rune Kildetoft, KU, </w:t>
      </w:r>
      <w:hyperlink r:id="rId7" w:history="1">
        <w:r w:rsidR="005F5D65" w:rsidRPr="00ED0DB1">
          <w:rPr>
            <w:rStyle w:val="Hyperlink"/>
            <w:lang w:val="da-DK"/>
          </w:rPr>
          <w:t>kildetoft@nbi.dk</w:t>
        </w:r>
      </w:hyperlink>
    </w:p>
    <w:p w:rsidR="00B46D86" w:rsidRDefault="00B46D86" w:rsidP="006A67E8">
      <w:pPr>
        <w:numPr>
          <w:ilvl w:val="0"/>
          <w:numId w:val="2"/>
        </w:numPr>
      </w:pPr>
      <w:r w:rsidRPr="00B46D86">
        <w:t xml:space="preserve">Martin Rehr, KU, </w:t>
      </w:r>
      <w:hyperlink r:id="rId8" w:history="1">
        <w:r w:rsidRPr="00ED0DB1">
          <w:rPr>
            <w:rStyle w:val="Hyperlink"/>
          </w:rPr>
          <w:t>rehr@science.ku.dk</w:t>
        </w:r>
      </w:hyperlink>
    </w:p>
    <w:p w:rsidR="005F5D65" w:rsidRDefault="005F5D65" w:rsidP="006A67E8">
      <w:pPr>
        <w:numPr>
          <w:ilvl w:val="0"/>
          <w:numId w:val="2"/>
        </w:numPr>
      </w:pPr>
      <w:r w:rsidRPr="005F5D65">
        <w:t xml:space="preserve">Lars Melwyn, DTU, </w:t>
      </w:r>
      <w:hyperlink r:id="rId9" w:history="1">
        <w:r w:rsidR="00B46D86" w:rsidRPr="00ED0DB1">
          <w:rPr>
            <w:rStyle w:val="Hyperlink"/>
          </w:rPr>
          <w:t>melwyn@dtu.dk</w:t>
        </w:r>
      </w:hyperlink>
    </w:p>
    <w:p w:rsidR="00DE67EF" w:rsidRDefault="00DE67EF" w:rsidP="006A67E8">
      <w:pPr>
        <w:numPr>
          <w:ilvl w:val="0"/>
          <w:numId w:val="2"/>
        </w:numPr>
        <w:rPr>
          <w:lang w:val="da-DK"/>
        </w:rPr>
      </w:pPr>
      <w:r w:rsidRPr="00DE67EF">
        <w:rPr>
          <w:lang w:val="da-DK"/>
        </w:rPr>
        <w:t xml:space="preserve">Per Aa. Ankerstjerne, DTU, </w:t>
      </w:r>
      <w:hyperlink r:id="rId10" w:history="1">
        <w:r w:rsidRPr="00ED0DB1">
          <w:rPr>
            <w:rStyle w:val="Hyperlink"/>
            <w:lang w:val="da-DK"/>
          </w:rPr>
          <w:t>peraaa@dtu.dk</w:t>
        </w:r>
      </w:hyperlink>
    </w:p>
    <w:p w:rsidR="009C0701" w:rsidRDefault="007F6457">
      <w:pPr>
        <w:numPr>
          <w:ilvl w:val="0"/>
          <w:numId w:val="2"/>
        </w:numPr>
        <w:rPr>
          <w:lang w:val="da-DK"/>
        </w:rPr>
      </w:pPr>
      <w:r w:rsidRPr="008D7894">
        <w:rPr>
          <w:lang w:val="da-DK"/>
        </w:rPr>
        <w:t xml:space="preserve">Ole Holm Nielsen, DTU, </w:t>
      </w:r>
      <w:hyperlink r:id="rId11" w:history="1">
        <w:r w:rsidR="00B46D86" w:rsidRPr="00ED0DB1">
          <w:rPr>
            <w:rStyle w:val="Hyperlink"/>
            <w:lang w:val="da-DK"/>
          </w:rPr>
          <w:t>ole.h.nielsen@fysik.dtu.dk</w:t>
        </w:r>
      </w:hyperlink>
    </w:p>
    <w:p w:rsidR="00B46D86" w:rsidRDefault="007F6457" w:rsidP="00320CC2">
      <w:pPr>
        <w:numPr>
          <w:ilvl w:val="0"/>
          <w:numId w:val="2"/>
        </w:numPr>
      </w:pPr>
      <w:r>
        <w:t xml:space="preserve">Lottie Greenwood, </w:t>
      </w:r>
      <w:r w:rsidR="00B46D86">
        <w:t xml:space="preserve">ITU, </w:t>
      </w:r>
      <w:hyperlink r:id="rId12" w:history="1">
        <w:r w:rsidR="00B46D86" w:rsidRPr="00ED0DB1">
          <w:rPr>
            <w:rStyle w:val="Hyperlink"/>
          </w:rPr>
          <w:t>logr@itu.dk</w:t>
        </w:r>
      </w:hyperlink>
    </w:p>
    <w:p w:rsidR="009C0701" w:rsidRDefault="007F6457" w:rsidP="00320CC2">
      <w:pPr>
        <w:numPr>
          <w:ilvl w:val="0"/>
          <w:numId w:val="2"/>
        </w:numPr>
      </w:pPr>
      <w:r>
        <w:t xml:space="preserve">Pietro Bortolozzo, DTU, </w:t>
      </w:r>
      <w:hyperlink r:id="rId13" w:history="1">
        <w:r w:rsidR="00B46D86" w:rsidRPr="00ED0DB1">
          <w:rPr>
            <w:rStyle w:val="Hyperlink"/>
          </w:rPr>
          <w:t>pbor@dtu.dk</w:t>
        </w:r>
      </w:hyperlink>
    </w:p>
    <w:p w:rsidR="00B46D86" w:rsidRDefault="00B46D86">
      <w:pPr>
        <w:numPr>
          <w:ilvl w:val="0"/>
          <w:numId w:val="2"/>
        </w:numPr>
      </w:pPr>
      <w:r>
        <w:t xml:space="preserve">Rainer Bohm, AAU, </w:t>
      </w:r>
      <w:hyperlink r:id="rId14" w:history="1">
        <w:r w:rsidRPr="00ED0DB1">
          <w:rPr>
            <w:rStyle w:val="Hyperlink"/>
          </w:rPr>
          <w:t>rb@its.aau.dk</w:t>
        </w:r>
      </w:hyperlink>
    </w:p>
    <w:p w:rsidR="00B46D86" w:rsidRDefault="00B46D86">
      <w:pPr>
        <w:numPr>
          <w:ilvl w:val="0"/>
          <w:numId w:val="2"/>
        </w:numPr>
        <w:rPr>
          <w:lang w:val="da-DK"/>
        </w:rPr>
      </w:pPr>
      <w:r w:rsidRPr="00B46D86">
        <w:rPr>
          <w:lang w:val="da-DK"/>
        </w:rPr>
        <w:t xml:space="preserve">Rasmus Jensen, AAU, </w:t>
      </w:r>
      <w:hyperlink r:id="rId15" w:history="1">
        <w:r w:rsidRPr="00ED0DB1">
          <w:rPr>
            <w:rStyle w:val="Hyperlink"/>
            <w:lang w:val="da-DK"/>
          </w:rPr>
          <w:t>rj@its.aau.dk</w:t>
        </w:r>
      </w:hyperlink>
    </w:p>
    <w:p w:rsidR="009C0701" w:rsidRPr="00B46D86" w:rsidRDefault="009C0701">
      <w:pPr>
        <w:rPr>
          <w:lang w:val="da-DK"/>
        </w:rPr>
      </w:pPr>
    </w:p>
    <w:p w:rsidR="009C0701" w:rsidRDefault="007F6457">
      <w:pPr>
        <w:rPr>
          <w:b/>
          <w:bCs/>
        </w:rPr>
      </w:pPr>
      <w:r>
        <w:rPr>
          <w:b/>
          <w:bCs/>
        </w:rPr>
        <w:t>Preface</w:t>
      </w:r>
    </w:p>
    <w:p w:rsidR="009C0701" w:rsidRDefault="009C0701">
      <w:pPr>
        <w:rPr>
          <w:b/>
          <w:bCs/>
        </w:rPr>
      </w:pPr>
    </w:p>
    <w:p w:rsidR="009C0701" w:rsidRDefault="005F5D65">
      <w:r>
        <w:t>The Dei</w:t>
      </w:r>
      <w:r w:rsidR="007F6457">
        <w:t xml:space="preserve">C </w:t>
      </w:r>
      <w:r w:rsidR="007F6457">
        <w:rPr>
          <w:b/>
          <w:bCs/>
        </w:rPr>
        <w:t>HPC TekRef</w:t>
      </w:r>
      <w:r w:rsidR="007F6457">
        <w:t xml:space="preserve"> group, represented by a delegation of </w:t>
      </w:r>
      <w:r w:rsidR="007F6457">
        <w:rPr>
          <w:i/>
          <w:iCs/>
        </w:rPr>
        <w:t>High Performance Computing</w:t>
      </w:r>
      <w:r w:rsidR="007F6457">
        <w:t xml:space="preserve"> (HPC) system administrators from Danish universities (KU, A</w:t>
      </w:r>
      <w:r>
        <w:t>A</w:t>
      </w:r>
      <w:r w:rsidR="007F6457">
        <w:t xml:space="preserve">U, </w:t>
      </w:r>
      <w:r>
        <w:t>ITU</w:t>
      </w:r>
      <w:r w:rsidR="007F6457">
        <w:t>,</w:t>
      </w:r>
      <w:r w:rsidR="008D7894">
        <w:t xml:space="preserve"> and</w:t>
      </w:r>
      <w:r>
        <w:t xml:space="preserve"> DTU), Dei</w:t>
      </w:r>
      <w:r w:rsidR="007F6457">
        <w:t>C</w:t>
      </w:r>
      <w:r>
        <w:t xml:space="preserve"> </w:t>
      </w:r>
      <w:r w:rsidR="007F6457">
        <w:t xml:space="preserve">participated in the </w:t>
      </w:r>
      <w:r>
        <w:rPr>
          <w:i/>
          <w:iCs/>
        </w:rPr>
        <w:t>SC22</w:t>
      </w:r>
      <w:r w:rsidR="007F6457">
        <w:t xml:space="preserve"> </w:t>
      </w:r>
      <w:r w:rsidR="007F6457">
        <w:rPr>
          <w:i/>
          <w:iCs/>
        </w:rPr>
        <w:t>International Conference for High Performance Computing, Networking, Storage, and Analysis</w:t>
      </w:r>
      <w:r w:rsidR="007F6457">
        <w:rPr>
          <w:rStyle w:val="FootnoteAnchor"/>
          <w:i/>
          <w:iCs/>
        </w:rPr>
        <w:footnoteReference w:id="1"/>
      </w:r>
      <w:r w:rsidR="007F6457">
        <w:t xml:space="preserve"> annual conference in November </w:t>
      </w:r>
      <w:r>
        <w:t>2022</w:t>
      </w:r>
      <w:r w:rsidR="007F6457">
        <w:t xml:space="preserve"> in Dallas, Texas, USA.  The delegation also participa</w:t>
      </w:r>
      <w:r w:rsidR="00C37546">
        <w:t>ted in the satellite conference</w:t>
      </w:r>
      <w:r w:rsidR="007F6457">
        <w:t xml:space="preserve"> HPE</w:t>
      </w:r>
      <w:r w:rsidR="00C37546">
        <w:t xml:space="preserve"> ForCAST Fall 2022.</w:t>
      </w:r>
    </w:p>
    <w:p w:rsidR="00C37546" w:rsidRDefault="00C37546"/>
    <w:p w:rsidR="009C0701" w:rsidRDefault="007F6457">
      <w:r>
        <w:t xml:space="preserve">This report summarizes the </w:t>
      </w:r>
      <w:r w:rsidR="008D7894">
        <w:t>fact-finding</w:t>
      </w:r>
      <w:r>
        <w:t xml:space="preserve"> investigations carried out by the delegation during the conferences for the purpose of obtaining and accumulating knowledge about the latest HPC systems, technology, and software for use by DeIC as well as the HPC community in Denmark.</w:t>
      </w:r>
    </w:p>
    <w:p w:rsidR="009C0701" w:rsidRDefault="009C0701"/>
    <w:p w:rsidR="009C0701" w:rsidRDefault="007F6457">
      <w:r>
        <w:t xml:space="preserve">The delegation attended a large number of conference sessions, and in addition held a number of prearranged one-to-one meetings with key technology vendors under </w:t>
      </w:r>
      <w:r>
        <w:rPr>
          <w:i/>
          <w:iCs/>
        </w:rPr>
        <w:t>Non-Disclosure Agreements</w:t>
      </w:r>
      <w:r>
        <w:t xml:space="preserve"> (NDA). The vendor list was Intel, AMD, Nvidia, Mellanox, DellEMC, HPE, Lenovo</w:t>
      </w:r>
      <w:r w:rsidR="00C37546">
        <w:t>, and Cornelis Networks</w:t>
      </w:r>
      <w:bookmarkStart w:id="0" w:name="_GoBack"/>
      <w:bookmarkEnd w:id="0"/>
      <w:r>
        <w:t>. The information obtained under NDA cannot be disclosed in the present public report, but any publicly available information is reported.</w:t>
      </w:r>
    </w:p>
    <w:p w:rsidR="009C0701" w:rsidRDefault="009C0701"/>
    <w:p w:rsidR="009C0701" w:rsidRDefault="007F6457">
      <w:r>
        <w:t>The topics in the following sections represent the most important trends in HPC, with a particular emphasis on HPC in Denmark.</w:t>
      </w:r>
      <w:r>
        <w:br w:type="page"/>
      </w:r>
    </w:p>
    <w:p w:rsidR="009C0701" w:rsidRDefault="007F6457">
      <w:r>
        <w:rPr>
          <w:b/>
          <w:bCs/>
          <w:sz w:val="28"/>
          <w:szCs w:val="28"/>
          <w:u w:val="single"/>
        </w:rPr>
        <w:lastRenderedPageBreak/>
        <w:t xml:space="preserve">CPUs for HPC </w:t>
      </w:r>
    </w:p>
    <w:p w:rsidR="009C0701" w:rsidRDefault="009C0701"/>
    <w:p w:rsidR="009C0701" w:rsidRDefault="007F6457">
      <w:r>
        <w:rPr>
          <w:b/>
          <w:bCs/>
        </w:rPr>
        <w:t>Intel</w:t>
      </w:r>
    </w:p>
    <w:p w:rsidR="009C0701" w:rsidRDefault="009C0701">
      <w:pPr>
        <w:rPr>
          <w:b/>
          <w:bCs/>
          <w:u w:val="single"/>
        </w:rPr>
      </w:pPr>
    </w:p>
    <w:p w:rsidR="009C0701" w:rsidRDefault="009C0701"/>
    <w:p w:rsidR="009C0701" w:rsidRDefault="007F6457">
      <w:r>
        <w:rPr>
          <w:b/>
          <w:bCs/>
        </w:rPr>
        <w:t>AMD</w:t>
      </w:r>
    </w:p>
    <w:p w:rsidR="009C0701" w:rsidRDefault="009C0701">
      <w:pPr>
        <w:rPr>
          <w:b/>
          <w:bCs/>
          <w:u w:val="single"/>
        </w:rPr>
      </w:pPr>
    </w:p>
    <w:p w:rsidR="009C0701" w:rsidRDefault="009C0701"/>
    <w:p w:rsidR="009C0701" w:rsidRDefault="007F6457">
      <w:r>
        <w:rPr>
          <w:b/>
          <w:bCs/>
        </w:rPr>
        <w:t>ARM</w:t>
      </w:r>
    </w:p>
    <w:p w:rsidR="009C0701" w:rsidRDefault="009C0701"/>
    <w:p w:rsidR="009C0701" w:rsidRDefault="007F6457">
      <w:r>
        <w:br/>
      </w:r>
      <w:r>
        <w:rPr>
          <w:b/>
          <w:bCs/>
          <w:sz w:val="28"/>
          <w:szCs w:val="28"/>
          <w:u w:val="single"/>
        </w:rPr>
        <w:t>Accelerators</w:t>
      </w:r>
      <w:r>
        <w:rPr>
          <w:sz w:val="28"/>
          <w:szCs w:val="28"/>
        </w:rPr>
        <w:t xml:space="preserve"> </w:t>
      </w:r>
    </w:p>
    <w:p w:rsidR="009C0701" w:rsidRDefault="009C0701"/>
    <w:p w:rsidR="009C0701" w:rsidRDefault="007F6457">
      <w:r>
        <w:rPr>
          <w:b/>
          <w:bCs/>
        </w:rPr>
        <w:t>NVIDIA</w:t>
      </w:r>
    </w:p>
    <w:p w:rsidR="009C0701" w:rsidRDefault="009C0701"/>
    <w:p w:rsidR="009C0701" w:rsidRDefault="009C0701"/>
    <w:p w:rsidR="009C0701" w:rsidRDefault="007F6457">
      <w:r>
        <w:rPr>
          <w:b/>
          <w:bCs/>
        </w:rPr>
        <w:t>AMD</w:t>
      </w:r>
    </w:p>
    <w:p w:rsidR="009C0701" w:rsidRDefault="009C0701"/>
    <w:p w:rsidR="00557618" w:rsidRDefault="00557618"/>
    <w:p w:rsidR="009C0701" w:rsidRDefault="007F6457">
      <w:r>
        <w:rPr>
          <w:b/>
          <w:bCs/>
        </w:rPr>
        <w:t>Intel</w:t>
      </w:r>
    </w:p>
    <w:p w:rsidR="009C0701" w:rsidRDefault="009C0701"/>
    <w:p w:rsidR="009C0701" w:rsidRDefault="009C0701"/>
    <w:p w:rsidR="009C0701" w:rsidRDefault="007F6457">
      <w:r>
        <w:rPr>
          <w:b/>
          <w:bCs/>
        </w:rPr>
        <w:t>Field Programmable Gate Array (FPGA)</w:t>
      </w:r>
    </w:p>
    <w:p w:rsidR="009C0701" w:rsidRDefault="009C0701">
      <w:pPr>
        <w:pStyle w:val="PreformattedText"/>
      </w:pPr>
    </w:p>
    <w:p w:rsidR="009C0701" w:rsidRDefault="007F6457">
      <w:r>
        <w:rPr>
          <w:b/>
          <w:bCs/>
        </w:rPr>
        <w:t>Quantum computing</w:t>
      </w:r>
    </w:p>
    <w:p w:rsidR="009C0701" w:rsidRDefault="009C0701"/>
    <w:p w:rsidR="005B025B" w:rsidRDefault="005B025B">
      <w:pPr>
        <w:rPr>
          <w:b/>
          <w:bCs/>
          <w:sz w:val="28"/>
          <w:szCs w:val="28"/>
          <w:u w:val="single"/>
        </w:rPr>
      </w:pPr>
    </w:p>
    <w:p w:rsidR="009C0701" w:rsidRDefault="007F6457">
      <w:r>
        <w:rPr>
          <w:b/>
          <w:bCs/>
          <w:sz w:val="28"/>
          <w:szCs w:val="28"/>
          <w:u w:val="single"/>
        </w:rPr>
        <w:t>Server products</w:t>
      </w:r>
    </w:p>
    <w:p w:rsidR="009C0701" w:rsidRDefault="009C0701"/>
    <w:p w:rsidR="009C0701" w:rsidRDefault="007F6457">
      <w:r>
        <w:br/>
      </w:r>
      <w:r>
        <w:rPr>
          <w:b/>
          <w:bCs/>
          <w:sz w:val="28"/>
          <w:szCs w:val="28"/>
          <w:u w:val="single"/>
        </w:rPr>
        <w:t>Interconnects for HPC</w:t>
      </w:r>
    </w:p>
    <w:p w:rsidR="009C0701" w:rsidRDefault="009C0701"/>
    <w:p w:rsidR="009C0701" w:rsidRDefault="007F6457">
      <w:r>
        <w:rPr>
          <w:b/>
          <w:bCs/>
        </w:rPr>
        <w:t>Mellanox Infiniband</w:t>
      </w:r>
    </w:p>
    <w:p w:rsidR="009C0701" w:rsidRDefault="009C0701"/>
    <w:p w:rsidR="009C0701" w:rsidRDefault="007F6457">
      <w:r>
        <w:rPr>
          <w:b/>
          <w:bCs/>
        </w:rPr>
        <w:t>Omni-Path</w:t>
      </w:r>
    </w:p>
    <w:p w:rsidR="009C0701" w:rsidRDefault="009C0701">
      <w:pPr>
        <w:rPr>
          <w:b/>
          <w:bCs/>
        </w:rPr>
      </w:pPr>
    </w:p>
    <w:p w:rsidR="009C0701" w:rsidRDefault="005F5D65" w:rsidP="005F5D65">
      <w:r>
        <w:t>The</w:t>
      </w:r>
      <w:r w:rsidR="007F6457">
        <w:t xml:space="preserve"> Omni-Path </w:t>
      </w:r>
      <w:r>
        <w:t xml:space="preserve">network fabric products were spun out from Intel in 2020 to a new company </w:t>
      </w:r>
      <w:r w:rsidRPr="005F5D65">
        <w:rPr>
          <w:i/>
        </w:rPr>
        <w:t>Cornelis Networks</w:t>
      </w:r>
      <w:r>
        <w:t>.</w:t>
      </w:r>
    </w:p>
    <w:p w:rsidR="009C0701" w:rsidRDefault="009C0701">
      <w:pPr>
        <w:pStyle w:val="PreformattedText"/>
      </w:pPr>
    </w:p>
    <w:p w:rsidR="009C0701" w:rsidRDefault="007F6457">
      <w:pPr>
        <w:pStyle w:val="PreformattedText"/>
        <w:rPr>
          <w:b/>
          <w:bCs/>
        </w:rPr>
      </w:pPr>
      <w:r>
        <w:rPr>
          <w:b/>
          <w:bCs/>
        </w:rPr>
        <w:t>HPE</w:t>
      </w:r>
      <w:r w:rsidR="005F5D65">
        <w:rPr>
          <w:b/>
          <w:bCs/>
        </w:rPr>
        <w:t>/Cray</w:t>
      </w:r>
      <w:r>
        <w:rPr>
          <w:b/>
          <w:bCs/>
        </w:rPr>
        <w:t xml:space="preserve"> </w:t>
      </w:r>
      <w:r w:rsidR="005F5D65">
        <w:rPr>
          <w:b/>
          <w:bCs/>
        </w:rPr>
        <w:t>Slingshot</w:t>
      </w:r>
    </w:p>
    <w:p w:rsidR="005F5D65" w:rsidRDefault="005F5D65">
      <w:pPr>
        <w:pStyle w:val="PreformattedText"/>
        <w:rPr>
          <w:b/>
          <w:bCs/>
        </w:rPr>
      </w:pPr>
    </w:p>
    <w:p w:rsidR="009C0701" w:rsidRDefault="007F6457">
      <w:r>
        <w:rPr>
          <w:b/>
          <w:bCs/>
          <w:sz w:val="28"/>
          <w:szCs w:val="28"/>
          <w:u w:val="single"/>
        </w:rPr>
        <w:t>Data centers and liquid cooling</w:t>
      </w:r>
    </w:p>
    <w:p w:rsidR="009C0701" w:rsidRDefault="009C0701"/>
    <w:p w:rsidR="009C0701" w:rsidRDefault="009C0701"/>
    <w:p w:rsidR="009C0701" w:rsidRPr="005F5D65" w:rsidRDefault="005F5D65">
      <w:pPr>
        <w:rPr>
          <w:b/>
        </w:rPr>
      </w:pPr>
      <w:r w:rsidRPr="005F5D65">
        <w:rPr>
          <w:b/>
        </w:rPr>
        <w:t>Direct Liquid Cooling</w:t>
      </w:r>
    </w:p>
    <w:p w:rsidR="009C0701" w:rsidRDefault="009C0701"/>
    <w:p w:rsidR="009C0701" w:rsidRDefault="009C0701"/>
    <w:p w:rsidR="009C0701" w:rsidRDefault="007F6457">
      <w:r>
        <w:rPr>
          <w:b/>
          <w:bCs/>
        </w:rPr>
        <w:t>Cooling Distribution Units</w:t>
      </w:r>
      <w:r>
        <w:br w:type="page"/>
      </w:r>
    </w:p>
    <w:p w:rsidR="009C0701" w:rsidRDefault="007F6457">
      <w:r>
        <w:rPr>
          <w:b/>
          <w:bCs/>
          <w:sz w:val="28"/>
          <w:szCs w:val="28"/>
          <w:u w:val="single"/>
        </w:rPr>
        <w:lastRenderedPageBreak/>
        <w:t>Middleware and software for HPC</w:t>
      </w:r>
    </w:p>
    <w:p w:rsidR="009C0701" w:rsidRDefault="009C0701"/>
    <w:p w:rsidR="009C0701" w:rsidRDefault="007F6457">
      <w:pPr>
        <w:rPr>
          <w:b/>
          <w:bCs/>
        </w:rPr>
      </w:pPr>
      <w:r>
        <w:rPr>
          <w:b/>
          <w:bCs/>
        </w:rPr>
        <w:t>Slurm</w:t>
      </w:r>
    </w:p>
    <w:p w:rsidR="009C0701" w:rsidRDefault="009C0701"/>
    <w:p w:rsidR="009C0701" w:rsidRDefault="007F6457">
      <w:r>
        <w:rPr>
          <w:b/>
          <w:bCs/>
        </w:rPr>
        <w:t>Software modules</w:t>
      </w:r>
    </w:p>
    <w:p w:rsidR="009C0701" w:rsidRDefault="009C0701"/>
    <w:p w:rsidR="009C0701" w:rsidRDefault="007F6457">
      <w:r>
        <w:rPr>
          <w:b/>
          <w:bCs/>
        </w:rPr>
        <w:t>Containers</w:t>
      </w:r>
    </w:p>
    <w:p w:rsidR="009C0701" w:rsidRDefault="009C0701"/>
    <w:p w:rsidR="009C0701" w:rsidRDefault="007F6457">
      <w:r>
        <w:rPr>
          <w:b/>
          <w:bCs/>
          <w:sz w:val="28"/>
          <w:szCs w:val="28"/>
          <w:u w:val="single"/>
        </w:rPr>
        <w:t>Cloud services for HPC</w:t>
      </w:r>
    </w:p>
    <w:p w:rsidR="009C0701" w:rsidRDefault="009C0701"/>
    <w:p w:rsidR="009C0701" w:rsidRDefault="007F6457">
      <w:r>
        <w:br/>
      </w:r>
      <w:r w:rsidR="005C31F4">
        <w:rPr>
          <w:b/>
          <w:bCs/>
          <w:sz w:val="28"/>
          <w:szCs w:val="28"/>
          <w:u w:val="single"/>
        </w:rPr>
        <w:t>Artificial</w:t>
      </w:r>
      <w:r>
        <w:rPr>
          <w:b/>
          <w:bCs/>
          <w:sz w:val="28"/>
          <w:szCs w:val="28"/>
          <w:u w:val="single"/>
        </w:rPr>
        <w:t xml:space="preserve"> Intelligence (AI) and Machine Learning (ML)</w:t>
      </w:r>
    </w:p>
    <w:p w:rsidR="009C0701" w:rsidRDefault="009C0701"/>
    <w:p w:rsidR="009C0701" w:rsidRDefault="007F6457">
      <w:r>
        <w:br/>
      </w:r>
      <w:r>
        <w:rPr>
          <w:b/>
          <w:bCs/>
          <w:sz w:val="28"/>
          <w:szCs w:val="28"/>
          <w:u w:val="single"/>
        </w:rPr>
        <w:t>TOP500 supercomputers</w:t>
      </w:r>
    </w:p>
    <w:p w:rsidR="009C0701" w:rsidRDefault="009C0701"/>
    <w:p w:rsidR="009C0701" w:rsidRDefault="009C0701"/>
    <w:p w:rsidR="009C0701" w:rsidRDefault="007F6457">
      <w:r>
        <w:rPr>
          <w:b/>
          <w:bCs/>
          <w:sz w:val="28"/>
          <w:szCs w:val="28"/>
          <w:u w:val="single"/>
        </w:rPr>
        <w:t>Exascale computing</w:t>
      </w:r>
    </w:p>
    <w:p w:rsidR="009C0701" w:rsidRDefault="009C0701">
      <w:pPr>
        <w:rPr>
          <w:b/>
          <w:bCs/>
          <w:sz w:val="28"/>
          <w:szCs w:val="28"/>
          <w:u w:val="single"/>
        </w:rPr>
      </w:pPr>
    </w:p>
    <w:p w:rsidR="009C0701" w:rsidRDefault="009C0701">
      <w:pPr>
        <w:pStyle w:val="PreformattedText"/>
      </w:pPr>
    </w:p>
    <w:p w:rsidR="009C0701" w:rsidRDefault="007F6457">
      <w:pPr>
        <w:pStyle w:val="PreformattedText"/>
        <w:rPr>
          <w:b/>
          <w:bCs/>
          <w:u w:val="single"/>
        </w:rPr>
      </w:pPr>
      <w:r>
        <w:rPr>
          <w:b/>
          <w:bCs/>
          <w:u w:val="single"/>
        </w:rPr>
        <w:t>Conclusion</w:t>
      </w:r>
    </w:p>
    <w:p w:rsidR="009C0701" w:rsidRDefault="009C0701">
      <w:pPr>
        <w:pStyle w:val="PreformattedText"/>
      </w:pPr>
    </w:p>
    <w:p w:rsidR="009C0701" w:rsidRDefault="009C0701">
      <w:pPr>
        <w:pStyle w:val="PreformattedText"/>
      </w:pPr>
    </w:p>
    <w:sectPr w:rsidR="009C0701">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7BC" w:rsidRDefault="007F6457">
      <w:r>
        <w:separator/>
      </w:r>
    </w:p>
  </w:endnote>
  <w:endnote w:type="continuationSeparator" w:id="0">
    <w:p w:rsidR="00D047BC" w:rsidRDefault="007F6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Liberation Serif">
    <w:altName w:val="Times New Roman"/>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701" w:rsidRDefault="007F6457">
      <w:r>
        <w:separator/>
      </w:r>
    </w:p>
  </w:footnote>
  <w:footnote w:type="continuationSeparator" w:id="0">
    <w:p w:rsidR="009C0701" w:rsidRDefault="007F6457">
      <w:r>
        <w:continuationSeparator/>
      </w:r>
    </w:p>
  </w:footnote>
  <w:footnote w:id="1">
    <w:p w:rsidR="009C0701" w:rsidRDefault="007F6457">
      <w:pPr>
        <w:pStyle w:val="FootnoteText"/>
      </w:pPr>
      <w:r>
        <w:footnoteRef/>
      </w:r>
      <w:r w:rsidR="005F5D65">
        <w:tab/>
        <w:t xml:space="preserve"> SC22</w:t>
      </w:r>
      <w:r w:rsidR="00CD1A90">
        <w:t xml:space="preserve"> </w:t>
      </w:r>
      <w:hyperlink r:id="rId1" w:history="1">
        <w:r w:rsidR="005F5D65" w:rsidRPr="00ED0DB1">
          <w:rPr>
            <w:rStyle w:val="Hyperlink"/>
          </w:rPr>
          <w:t>https://sc22.s</w:t>
        </w:r>
        <w:r w:rsidR="005F5D65" w:rsidRPr="00ED0DB1">
          <w:rPr>
            <w:rStyle w:val="Hyperlink"/>
          </w:rPr>
          <w:t>u</w:t>
        </w:r>
        <w:r w:rsidR="005F5D65" w:rsidRPr="00ED0DB1">
          <w:rPr>
            <w:rStyle w:val="Hyperlink"/>
          </w:rPr>
          <w:t>percomputing.org/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94FFA"/>
    <w:multiLevelType w:val="multilevel"/>
    <w:tmpl w:val="E0A6CD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F7C4BFD"/>
    <w:multiLevelType w:val="multilevel"/>
    <w:tmpl w:val="F19EFD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2AE5A82"/>
    <w:multiLevelType w:val="multilevel"/>
    <w:tmpl w:val="04D81D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420"/>
  <w:characterSpacingControl w:val="doNotCompress"/>
  <w:footnotePr>
    <w:footnote w:id="-1"/>
    <w:footnote w:id="0"/>
  </w:footnotePr>
  <w:endnotePr>
    <w:endnote w:id="-1"/>
    <w:endnote w:id="0"/>
  </w:endnotePr>
  <w:compat>
    <w:compatSetting w:name="compatibilityMode" w:uri="http://schemas.microsoft.com/office/word" w:val="12"/>
  </w:compat>
  <w:rsids>
    <w:rsidRoot w:val="009C0701"/>
    <w:rsid w:val="000C56D0"/>
    <w:rsid w:val="0040699E"/>
    <w:rsid w:val="00462BC8"/>
    <w:rsid w:val="00534042"/>
    <w:rsid w:val="00557618"/>
    <w:rsid w:val="005650D1"/>
    <w:rsid w:val="00574CCD"/>
    <w:rsid w:val="005B025B"/>
    <w:rsid w:val="005C31F4"/>
    <w:rsid w:val="005F5D65"/>
    <w:rsid w:val="007F6457"/>
    <w:rsid w:val="00854294"/>
    <w:rsid w:val="008D7894"/>
    <w:rsid w:val="009C0701"/>
    <w:rsid w:val="00AA15B1"/>
    <w:rsid w:val="00B46D86"/>
    <w:rsid w:val="00C23BBF"/>
    <w:rsid w:val="00C37546"/>
    <w:rsid w:val="00C44BDF"/>
    <w:rsid w:val="00CD1A90"/>
    <w:rsid w:val="00D047BC"/>
    <w:rsid w:val="00DE67EF"/>
    <w:rsid w:val="00ED58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9CC5"/>
  <w15:docId w15:val="{C213096B-A6FE-4C7D-A7D8-8C1F9561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4">
    <w:name w:val="heading 4"/>
    <w:basedOn w:val="Heading"/>
    <w:qFormat/>
    <w:pPr>
      <w:numPr>
        <w:ilvl w:val="3"/>
        <w:numId w:val="1"/>
      </w:num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styleId="FootnoteReference">
    <w:name w:val="footnote reference"/>
    <w:basedOn w:val="DefaultParagraphFont"/>
    <w:qFormat/>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qFormat/>
    <w:rPr>
      <w:sz w:val="20"/>
      <w:szCs w:val="20"/>
    </w:rPr>
  </w:style>
  <w:style w:type="paragraph" w:customStyle="1" w:styleId="PreformattedText">
    <w:name w:val="Preformatted Text"/>
    <w:basedOn w:val="Normal"/>
    <w:qFormat/>
  </w:style>
  <w:style w:type="paragraph" w:customStyle="1" w:styleId="Illustration">
    <w:name w:val="Illustration"/>
    <w:basedOn w:val="Caption"/>
    <w:qFormat/>
  </w:style>
  <w:style w:type="paragraph" w:customStyle="1" w:styleId="FrameContents">
    <w:name w:val="Frame Contents"/>
    <w:basedOn w:val="Normal"/>
    <w:qFormat/>
  </w:style>
  <w:style w:type="character" w:styleId="Hyperlink">
    <w:name w:val="Hyperlink"/>
    <w:basedOn w:val="DefaultParagraphFont"/>
    <w:uiPriority w:val="99"/>
    <w:unhideWhenUsed/>
    <w:rsid w:val="00557618"/>
    <w:rPr>
      <w:color w:val="0563C1" w:themeColor="hyperlink"/>
      <w:u w:val="single"/>
    </w:rPr>
  </w:style>
  <w:style w:type="character" w:styleId="FollowedHyperlink">
    <w:name w:val="FollowedHyperlink"/>
    <w:basedOn w:val="DefaultParagraphFont"/>
    <w:uiPriority w:val="99"/>
    <w:semiHidden/>
    <w:unhideWhenUsed/>
    <w:rsid w:val="00CD1A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ehr@science.ku.dk" TargetMode="External"/><Relationship Id="rId13" Type="http://schemas.openxmlformats.org/officeDocument/2006/relationships/hyperlink" Target="mailto:pbor@dtu.dk" TargetMode="External"/><Relationship Id="rId3" Type="http://schemas.openxmlformats.org/officeDocument/2006/relationships/settings" Target="settings.xml"/><Relationship Id="rId7" Type="http://schemas.openxmlformats.org/officeDocument/2006/relationships/hyperlink" Target="mailto:kildetoft@nbi.dk" TargetMode="External"/><Relationship Id="rId12" Type="http://schemas.openxmlformats.org/officeDocument/2006/relationships/hyperlink" Target="mailto:logr@itu.d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le.h.nielsen@fysik.dtu.dk" TargetMode="External"/><Relationship Id="rId5" Type="http://schemas.openxmlformats.org/officeDocument/2006/relationships/footnotes" Target="footnotes.xml"/><Relationship Id="rId15" Type="http://schemas.openxmlformats.org/officeDocument/2006/relationships/hyperlink" Target="mailto:rj@its.aau.dk" TargetMode="External"/><Relationship Id="rId10" Type="http://schemas.openxmlformats.org/officeDocument/2006/relationships/hyperlink" Target="mailto:peraaa@dtu.dk" TargetMode="External"/><Relationship Id="rId4" Type="http://schemas.openxmlformats.org/officeDocument/2006/relationships/webSettings" Target="webSettings.xml"/><Relationship Id="rId9" Type="http://schemas.openxmlformats.org/officeDocument/2006/relationships/hyperlink" Target="mailto:melwyn@dtu.dk" TargetMode="External"/><Relationship Id="rId14" Type="http://schemas.openxmlformats.org/officeDocument/2006/relationships/hyperlink" Target="mailto:rb@its.aau.d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c22.supercomput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3</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Nielsen</dc:creator>
  <dc:description/>
  <cp:lastModifiedBy>Ole Holm Nielsen</cp:lastModifiedBy>
  <cp:revision>146</cp:revision>
  <cp:lastPrinted>2018-12-19T10:08:00Z</cp:lastPrinted>
  <dcterms:created xsi:type="dcterms:W3CDTF">2018-11-26T11:36:00Z</dcterms:created>
  <dcterms:modified xsi:type="dcterms:W3CDTF">2022-11-10T09:15:00Z</dcterms:modified>
  <dc:language>en-US</dc:language>
</cp:coreProperties>
</file>