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amides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(58/85.0°C/KOH/Ru(OH)3/Fe3O4/inert/10.1021/jo200559h/2011)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['KOH', 'tBuOK',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['K2CO3', 'Na2CO3', 'KOH']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(152/100.0°C/K2CO3/Pd(ONO1)PPh3/inert/10.1002/aoc.7228/2023)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['K2CO3', 'Cs2CO3', 'LiOH']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(89/135.0°C/K2CO3/Cu(Oac)2/oxygen/10.1039/c1ob06743e/2012)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['K2CO3', 'tBuOK', 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(88/110.0°C/KOH/Rh(acac)3/inert/10.1002/adsc.201300061/2013)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(10/130.0°C/no base/PhCH2Br/oxygen/10.1039/c6gc00938g/2016)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['no base', 'K2CO3', 'NaOH']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(19/160.0°C/K2CO3/Ag-Mo-22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