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heteroaromatic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(332/70.0°C/tBuOK/RuPNHC/inert/10.1039/d1ob00362c/2021)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['tBuOK', 'KOH',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(92/50.0°C/tBuOK/IrNHC/inert/10.1039/c3cc42669f/2013)</w:t>
            </w:r>
          </w:p>
        </w:tc>
        <w:tc>
          <w:tcPr>
            <w:tcW w:type="dxa" w:w="1080"/>
          </w:tcPr>
          <w:p>
            <w:r>
              <w:t>(95/110.0°C/no base/GIrNC/oxygen/10.1039/d1ra09052f/2022)</w:t>
            </w:r>
          </w:p>
        </w:tc>
        <w:tc>
          <w:tcPr>
            <w:tcW w:type="dxa" w:w="1080"/>
          </w:tcPr>
          <w:p>
            <w:r>
              <w:t>(45/60.0°C/no base/Ir_2/inert/10.1002/ejoc.202301105/2024)</w:t>
            </w:r>
          </w:p>
        </w:tc>
        <w:tc>
          <w:tcPr>
            <w:tcW w:type="dxa" w:w="1080"/>
          </w:tcPr>
          <w:p>
            <w:r>
              <w:t>['tBuOK', 'NaOH',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(84/100.0°C/LiOH/Pd2((AcO)pirazoleAr3)2/inert/10.1016/j.tet.2017.03.001/2017)</w:t>
            </w:r>
          </w:p>
        </w:tc>
        <w:tc>
          <w:tcPr>
            <w:tcW w:type="dxa" w:w="1080"/>
          </w:tcPr>
          <w:p>
            <w:r>
              <w:t>(465/120.0°C/no base/Fe10Pd1NC50/inert/10.1039/d0gc03725g/2020)</w:t>
            </w:r>
          </w:p>
        </w:tc>
        <w:tc>
          <w:tcPr>
            <w:tcW w:type="dxa" w:w="1080"/>
          </w:tcPr>
          <w:p>
            <w:r>
              <w:t>(455/120.0°C/no base/Fe10Pd1NC50/inert/10.1039/d0gc03725g/2020)</w:t>
            </w:r>
          </w:p>
        </w:tc>
        <w:tc>
          <w:tcPr>
            <w:tcW w:type="dxa" w:w="1080"/>
          </w:tcPr>
          <w:p>
            <w:r>
              <w:t>['no base', 'CsOH', 'LiOH']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(44/80.0°C/tBuOK/Co-PNP-pincer/inert/10.1002/anie.201507955/2015)</w:t>
            </w:r>
          </w:p>
        </w:tc>
        <w:tc>
          <w:tcPr>
            <w:tcW w:type="dxa" w:w="1080"/>
          </w:tcPr>
          <w:p>
            <w:r>
              <w:t>(0/120.0°C/no base/[(NNN)CoCl2]2/inert/10.1002/ejic.202300263/2023)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(37/80.0°C/tBuOK/Fe-PNP-pincer/inert/10.1002/adsc.201600689/2016)</w:t>
            </w:r>
          </w:p>
        </w:tc>
        <w:tc>
          <w:tcPr>
            <w:tcW w:type="dxa" w:w="1080"/>
          </w:tcPr>
          <w:p>
            <w:r>
              <w:t>(28/160.0°C/no base/FeBr3 / prolinone/inert/10.1002/anie.201006660/2011)</w:t>
            </w:r>
          </w:p>
        </w:tc>
        <w:tc>
          <w:tcPr>
            <w:tcW w:type="dxa" w:w="1080"/>
          </w:tcPr>
          <w:p>
            <w:r>
              <w:t>(13/110.0°C/no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['tBuOK', 'tBuONa',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(95/110.0°C/tBuOK/NiBr2(PPh3)2/oxygen/10.1021/acs.joc.1c00510/2021)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'KOH', 'KOt-Amyl']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(220/120.0°C/KOH/Copper(I)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(28/80.0°C/tBuOK/Mn-PNP-pincer/inert/10.1038/ncomms12641/2016)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'CsOH', 'NaOH']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'NaOH']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(2/130.0°C/KOH/TiO2 NP/inert/10.1002/slct.202300770/2023)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(26/120.0°C/tBuOK/(NNN2)ZnCl2/inert/10.1021/acs.joc.2c01773/2022)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(86/130.0°C/tBuOK/w(co)6/inert/10.1002/cssc.202002830/2020)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