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ArCH2OH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(33/120.0°C/KOt-Amyl/(p-cymene)Ru(NHC1^NHC1)ClPF6/inert/10.1002/chem.201603901/2016)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(352/150.0°C/no base/Ru(CO)H2(PPh3)3/inert/10.1021/ol1020527/2010)</w:t>
            </w:r>
          </w:p>
        </w:tc>
        <w:tc>
          <w:tcPr>
            <w:tcW w:type="dxa" w:w="1080"/>
          </w:tcPr>
          <w:p>
            <w:r>
              <w:t>['K2CO3', 'no base', 'KHCO3']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(219/25.0°C/no base/Pd-Ti-NS/inert/10.1016/j.jcat.2018.02.005/2018)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['tBuOK', 'K3PO4', 'no base']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(198/120.0°C/no base/Au/TiO2-VS/inert/10.1002/chem.201100393/2011)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'Cs2CO3']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(16/150.0°C/tBuOK/Mo(NHC3)2(CO)4/inert/10.1021/acscatal.1c02956/2021)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(40/140.0°C/Cs2CO3/Ag/Al2O3/inert/10.1039/c5cp00330j/2015)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