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AlkCH2OH and Alk2CHOH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(15/120.0°C/Cs2CO3/cymeneRuCl2/no_data/10.1039/c9qo00544g/2019)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(272/150.0°C/no base/Ru(CO)H2(PPh3)3/inert/10.1021/ol1020527/2010)</w:t>
            </w:r>
          </w:p>
        </w:tc>
        <w:tc>
          <w:tcPr>
            <w:tcW w:type="dxa" w:w="1080"/>
          </w:tcPr>
          <w:p>
            <w:r>
              <w:t>['no base', 'K2CO3', 'Na2CO3']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(1417/150.0°C/K2CO3/Au/Ag-Mo-NR/inert/10.1039/c2cc34178f/2012)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(182/120.0°C/no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(49/150.0°C/Cs2CO3/Mn_1/inert/10.1021/acs.orglett.2c03595/2022)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(108/130.0°C/K2CO3/Cp*Ir(N^N)Cl2/inert/10.1021/acs.joc.1c02625/2021)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