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amine + MeOH processes for all metals and substrates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(48/60.0°C/NaOH/Ru_11/Air/10.1039/d0cy02210a/nan)</w:t>
            </w:r>
          </w:p>
        </w:tc>
        <w:tc>
          <w:tcPr>
            <w:tcW w:type="dxa" w:w="1080"/>
          </w:tcPr>
          <w:p>
            <w:r>
              <w:t>(86/180.0°C/no base/RuCl3/oxygen/10.1246/cl.1988.449/nan)</w:t>
            </w:r>
          </w:p>
        </w:tc>
        <w:tc>
          <w:tcPr>
            <w:tcW w:type="dxa" w:w="1080"/>
          </w:tcPr>
          <w:p>
            <w:r>
              <w:t>(71/180.0°C/no base/RuCl3/oxygen/10.1246/cl.1988.449/nan)</w:t>
            </w:r>
          </w:p>
        </w:tc>
        <w:tc>
          <w:tcPr>
            <w:tcW w:type="dxa" w:w="1080"/>
          </w:tcPr>
          <w:p>
            <w:r>
              <w:t>['tBuOK', 'MeOK',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(520/150.0°C/Cs2CO3/Ir_1/N2/10.1021/acs.organomet.2c00125/nan)</w:t>
            </w:r>
          </w:p>
        </w:tc>
        <w:tc>
          <w:tcPr>
            <w:tcW w:type="dxa" w:w="1080"/>
          </w:tcPr>
          <w:p>
            <w:r>
              <w:t>(368/125.0°C/Cs2CO3/Cp*Ir@CTF/no_data/10.1016/j.jcat.2021.02.030/nan)</w:t>
            </w:r>
          </w:p>
        </w:tc>
        <w:tc>
          <w:tcPr>
            <w:tcW w:type="dxa" w:w="1080"/>
          </w:tcPr>
          <w:p>
            <w:r>
              <w:t>(136/115.0°C/Cs2CO3/Cp*Ir@CTF/Air/10.1016/j.jcat.2021.02.030/nan)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(80/120.0°C/K2CO3/Mn_1/inert/10.1002/anie.202318763/nan)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'K2CO3']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(19/120.0°C/K2CO3/Pd 1Cu0.6–Fe3O4/no data/10.1039/d2cy00065b/nan)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'KHCO3', 'K3PO4']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(14/130.0°C/tBuOK/Re_1/N2/10.1016/j.jcat.2018.08.008/nan)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'K2CO3']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(20/80.0°C/MeOK/FeCl3/inert/10.1039/d2qo00825d/nan)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