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(45/60.0°C/no base/Ir_2/inert/10.1002/ejoc.202301105/2024)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(0/120.0°C/no base/[(NNN)CoCl2]2/inert/10.1002/ejic.202300263/2023)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(2/130.0°C/KOH/TiO2 NP/inert/10.1002/slct.202300770/2023)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