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omml-conversion-fixture"/>
    <w:p>
      <w:pPr>
        <w:pStyle w:val="Heading1"/>
      </w:pPr>
      <w:r>
        <w:t xml:space="preserve">OMML conversion fixture</w:t>
      </w:r>
    </w:p>
    <w:p>
      <w:pPr>
        <w:pStyle w:val="FirstParagraph"/>
      </w:pPr>
      <w:r>
        <w:t xml:space="preserve">An inline equation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display one: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footnote survives the trip</w:t>
      </w:r>
      <w:r>
        <w:rPr>
          <w:rStyle w:val="FootnoteReference"/>
        </w:rPr>
        <w:footnoteReference w:id="9"/>
      </w:r>
      <w:r>
        <w:t xml:space="preserve">.</w:t>
      </w:r>
    </w:p>
    <w:p>
      <w:pPr>
        <w:pStyle w:val="TableCaption"/>
      </w:pPr>
      <w:r>
        <w:t xml:space="preserve">A table for the DOCX reader.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 table for the DOCX reade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</w:tbl>
    <w:p>
      <w:pPr>
        <w:pStyle w:val="CaptionedFigure"/>
      </w:pPr>
      <w:r>
        <w:drawing>
          <wp:inline>
            <wp:extent cx="1600200" cy="8001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eca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embedded image.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for the exporter.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2026-09-12T02:52:25Z</dcterms:created>
  <dcterms:modified xsi:type="dcterms:W3CDTF">2026-09-12T02:52:25Z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