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D62509">
      <w:pPr>
        <w:spacing w:line="420" w:lineRule="atLeast"/>
        <w:jc w:val="center"/>
        <w:rPr>
          <w:rFonts w:eastAsia="黑体"/>
          <w:b/>
          <w:bCs/>
          <w:sz w:val="28"/>
          <w:szCs w:val="28"/>
        </w:rPr>
      </w:pPr>
      <w:r>
        <w:rPr>
          <w:rFonts w:eastAsia="黑体"/>
          <w:b/>
          <w:bCs/>
          <w:sz w:val="28"/>
          <w:szCs w:val="28"/>
        </w:rPr>
        <w:t>学位论文答辩委员会决议</w:t>
      </w:r>
    </w:p>
    <w:p w14:paraId="427724DC">
      <w:pPr>
        <w:widowControl/>
        <w:jc w:val="left"/>
        <w:rPr>
          <w:rFonts w:ascii="宋体" w:hAnsi="宋体" w:cs="宋体"/>
          <w:kern w:val="0"/>
          <w:sz w:val="24"/>
          <w:szCs w:val="24"/>
        </w:rPr>
      </w:pPr>
    </w:p>
    <w:p w14:paraId="5E00BA92">
      <w:pPr>
        <w:spacing w:line="420" w:lineRule="atLeast"/>
        <w:rPr>
          <w:rFonts w:hAnsi="宋体"/>
          <w:kern w:val="0"/>
          <w:sz w:val="24"/>
        </w:rPr>
      </w:pPr>
      <w:r>
        <w:rPr>
          <w:rFonts w:hint="eastAsia" w:ascii="宋体" w:hAnsi="宋体" w:cs="宋体"/>
          <w:kern w:val="0"/>
          <w:sz w:val="24"/>
          <w:szCs w:val="24"/>
        </w:rPr>
        <w:t xml:space="preserve"> </w:t>
      </w:r>
      <w:r>
        <w:rPr>
          <w:rFonts w:hint="eastAsia" w:hAnsi="宋体"/>
          <w:kern w:val="0"/>
          <w:sz w:val="24"/>
        </w:rPr>
        <w:t xml:space="preserve">   </w:t>
      </w:r>
      <w:r>
        <w:rPr>
          <w:rFonts w:hAnsi="宋体"/>
          <w:kern w:val="0"/>
          <w:sz w:val="24"/>
        </w:rPr>
        <w:t>根据《中华人民共和国学位条例》、《中华人民共和国学位条例暂行实施办法》、《</w:t>
      </w:r>
      <w:r>
        <w:rPr>
          <w:rFonts w:hint="eastAsia" w:hAnsi="宋体"/>
          <w:kern w:val="0"/>
          <w:sz w:val="24"/>
        </w:rPr>
        <w:t>厦门理工学院硕士学位授予工作细则（修订）</w:t>
      </w:r>
      <w:r>
        <w:rPr>
          <w:rFonts w:hAnsi="宋体"/>
          <w:kern w:val="0"/>
          <w:sz w:val="24"/>
        </w:rPr>
        <w:t>》</w:t>
      </w:r>
      <w:r>
        <w:rPr>
          <w:rFonts w:hint="eastAsia" w:hAnsi="宋体"/>
          <w:kern w:val="0"/>
          <w:sz w:val="24"/>
        </w:rPr>
        <w:t>和</w:t>
      </w:r>
      <w:r>
        <w:rPr>
          <w:rFonts w:hint="eastAsia" w:hAnsi="宋体"/>
          <w:color w:val="000000"/>
          <w:kern w:val="0"/>
          <w:sz w:val="24"/>
        </w:rPr>
        <w:t>《厦门理工学院硕士学位授予办法（试行）》，</w:t>
      </w:r>
      <w:r>
        <w:rPr>
          <w:rFonts w:hAnsi="宋体"/>
          <w:color w:val="000000"/>
          <w:kern w:val="0"/>
          <w:sz w:val="24"/>
        </w:rPr>
        <w:t>学位论文答辩委员会经充分交换意见，对论文做出评价，并以无记名投票方式进行表决，同意</w:t>
      </w:r>
      <w:r>
        <w:rPr>
          <w:rFonts w:hint="eastAsia" w:hAnsi="宋体"/>
          <w:color w:val="000000"/>
          <w:kern w:val="0"/>
          <w:sz w:val="24"/>
          <w:u w:val="single"/>
        </w:rPr>
        <w:t xml:space="preserve"> </w:t>
      </w:r>
      <w:r>
        <w:rPr>
          <w:rFonts w:hint="eastAsia" w:hAnsi="宋体"/>
          <w:kern w:val="0"/>
          <w:sz w:val="24"/>
          <w:u w:val="single"/>
        </w:rPr>
        <w:t xml:space="preserve">            </w:t>
      </w:r>
      <w:r>
        <w:rPr>
          <w:rFonts w:hAnsi="宋体"/>
          <w:kern w:val="0"/>
          <w:sz w:val="24"/>
        </w:rPr>
        <w:t>同学通过硕士学位论文答辩</w:t>
      </w:r>
      <w:r>
        <w:rPr>
          <w:rFonts w:hint="eastAsia" w:hAnsi="宋体"/>
          <w:kern w:val="0"/>
          <w:sz w:val="24"/>
        </w:rPr>
        <w:t>，建议</w:t>
      </w:r>
      <w:r>
        <w:rPr>
          <w:rFonts w:hAnsi="宋体"/>
          <w:kern w:val="0"/>
          <w:sz w:val="24"/>
        </w:rPr>
        <w:t>授予硕士学位。</w:t>
      </w:r>
    </w:p>
    <w:p w14:paraId="1D9ACB00">
      <w:pPr>
        <w:rPr>
          <w:rFonts w:hAnsi="宋体"/>
          <w:kern w:val="0"/>
          <w:sz w:val="24"/>
        </w:rPr>
      </w:pPr>
    </w:p>
    <w:p w14:paraId="30CC65D8">
      <w:pPr>
        <w:widowControl/>
        <w:spacing w:line="360" w:lineRule="auto"/>
        <w:jc w:val="left"/>
        <w:rPr>
          <w:rFonts w:hAnsi="宋体"/>
          <w:kern w:val="0"/>
          <w:sz w:val="24"/>
        </w:rPr>
      </w:pPr>
      <w:bookmarkStart w:id="0" w:name="_GoBack"/>
      <w:bookmarkEnd w:id="0"/>
    </w:p>
    <w:p w14:paraId="749BB17F">
      <w:pPr>
        <w:widowControl/>
        <w:spacing w:line="420" w:lineRule="atLeast"/>
        <w:jc w:val="left"/>
        <w:rPr>
          <w:rFonts w:hAnsi="宋体"/>
          <w:kern w:val="0"/>
          <w:sz w:val="24"/>
        </w:rPr>
      </w:pPr>
      <w:r>
        <w:rPr>
          <w:rFonts w:hint="eastAsia" w:hAnsi="宋体"/>
          <w:kern w:val="0"/>
          <w:sz w:val="24"/>
        </w:rPr>
        <w:t xml:space="preserve">                                   </w:t>
      </w:r>
      <w:r>
        <w:rPr>
          <w:rFonts w:hAnsi="宋体"/>
          <w:kern w:val="0"/>
          <w:sz w:val="24"/>
        </w:rPr>
        <w:t>答辩委员会(主席签名):</w:t>
      </w:r>
      <w:r>
        <w:rPr>
          <w:rFonts w:hint="eastAsia" w:hAnsi="宋体"/>
          <w:kern w:val="0"/>
          <w:sz w:val="24"/>
        </w:rPr>
        <w:t xml:space="preserve">          </w:t>
      </w:r>
    </w:p>
    <w:p w14:paraId="3E4DB263">
      <w:pPr>
        <w:spacing w:line="420" w:lineRule="atLeast"/>
        <w:jc w:val="center"/>
        <w:rPr>
          <w:rFonts w:hAnsi="宋体"/>
          <w:kern w:val="0"/>
          <w:sz w:val="24"/>
        </w:rPr>
      </w:pPr>
      <w:r>
        <w:rPr>
          <w:rFonts w:hint="eastAsia" w:hAnsi="宋体"/>
          <w:kern w:val="0"/>
          <w:sz w:val="24"/>
        </w:rPr>
        <w:t xml:space="preserve">                         </w:t>
      </w:r>
      <w:r>
        <w:rPr>
          <w:rFonts w:hAnsi="宋体"/>
          <w:kern w:val="0"/>
          <w:sz w:val="24"/>
        </w:rPr>
        <w:t>答辩时间:</w:t>
      </w:r>
      <w:r>
        <w:rPr>
          <w:rFonts w:hint="eastAsia" w:hAnsi="宋体"/>
          <w:kern w:val="0"/>
          <w:sz w:val="24"/>
        </w:rPr>
        <w:t xml:space="preserve">     </w:t>
      </w:r>
      <w:r>
        <w:rPr>
          <w:rFonts w:hAnsi="宋体"/>
          <w:kern w:val="0"/>
          <w:sz w:val="24"/>
        </w:rPr>
        <w:t>年</w:t>
      </w:r>
      <w:r>
        <w:rPr>
          <w:rFonts w:hint="eastAsia" w:hAnsi="宋体"/>
          <w:kern w:val="0"/>
          <w:sz w:val="24"/>
        </w:rPr>
        <w:t xml:space="preserve">     </w:t>
      </w:r>
      <w:r>
        <w:rPr>
          <w:rFonts w:hAnsi="宋体"/>
          <w:kern w:val="0"/>
          <w:sz w:val="24"/>
        </w:rPr>
        <w:t>月</w:t>
      </w:r>
      <w:r>
        <w:rPr>
          <w:rFonts w:hint="eastAsia" w:hAnsi="宋体"/>
          <w:kern w:val="0"/>
          <w:sz w:val="24"/>
        </w:rPr>
        <w:t xml:space="preserve">      </w:t>
      </w:r>
      <w:r>
        <w:rPr>
          <w:rFonts w:hAnsi="宋体"/>
          <w:kern w:val="0"/>
          <w:sz w:val="24"/>
        </w:rPr>
        <w:t>日</w:t>
      </w:r>
    </w:p>
    <w:p w14:paraId="79DA5A53">
      <w:pPr>
        <w:spacing w:line="420" w:lineRule="atLeast"/>
        <w:jc w:val="center"/>
        <w:rPr>
          <w:rFonts w:hint="eastAsia" w:eastAsia="黑体"/>
          <w:b/>
          <w:bCs/>
          <w:sz w:val="28"/>
          <w:szCs w:val="28"/>
        </w:rPr>
      </w:pPr>
    </w:p>
    <w:p w14:paraId="258ED821">
      <w:pPr>
        <w:spacing w:line="420" w:lineRule="atLeast"/>
        <w:jc w:val="center"/>
        <w:rPr>
          <w:rFonts w:hint="eastAsia" w:eastAsia="黑体"/>
          <w:b/>
          <w:bCs/>
          <w:sz w:val="28"/>
          <w:szCs w:val="28"/>
        </w:rPr>
      </w:pPr>
    </w:p>
    <w:p w14:paraId="5BA62945">
      <w:pPr>
        <w:spacing w:line="420" w:lineRule="atLeast"/>
        <w:jc w:val="center"/>
        <w:rPr>
          <w:rFonts w:hint="eastAsia" w:eastAsia="黑体"/>
          <w:b/>
          <w:bCs/>
          <w:sz w:val="28"/>
          <w:szCs w:val="28"/>
        </w:rPr>
      </w:pPr>
    </w:p>
    <w:p w14:paraId="03F38B7C">
      <w:pPr>
        <w:spacing w:line="420" w:lineRule="atLeast"/>
        <w:jc w:val="center"/>
        <w:rPr>
          <w:rFonts w:hint="eastAsia" w:eastAsia="黑体"/>
          <w:b/>
          <w:bCs/>
          <w:sz w:val="28"/>
          <w:szCs w:val="28"/>
        </w:rPr>
      </w:pPr>
    </w:p>
    <w:p w14:paraId="093F983B">
      <w:pPr>
        <w:spacing w:line="420" w:lineRule="atLeast"/>
        <w:jc w:val="center"/>
        <w:rPr>
          <w:rFonts w:hint="eastAsia" w:eastAsia="黑体"/>
          <w:b/>
          <w:bCs/>
          <w:sz w:val="28"/>
          <w:szCs w:val="28"/>
        </w:rPr>
      </w:pPr>
    </w:p>
    <w:p w14:paraId="4A32DED1">
      <w:pPr>
        <w:spacing w:line="420" w:lineRule="atLeast"/>
        <w:jc w:val="center"/>
        <w:rPr>
          <w:rFonts w:hint="eastAsia" w:eastAsia="黑体"/>
          <w:b/>
          <w:bCs/>
          <w:sz w:val="28"/>
          <w:szCs w:val="28"/>
        </w:rPr>
      </w:pPr>
    </w:p>
    <w:p w14:paraId="2BAC76C5">
      <w:pPr>
        <w:spacing w:line="420" w:lineRule="atLeast"/>
        <w:jc w:val="center"/>
        <w:rPr>
          <w:rFonts w:hint="eastAsia" w:eastAsia="黑体"/>
          <w:b/>
          <w:bCs/>
          <w:sz w:val="28"/>
          <w:szCs w:val="28"/>
        </w:rPr>
      </w:pPr>
    </w:p>
    <w:p w14:paraId="2C3AA267">
      <w:pPr>
        <w:spacing w:line="420" w:lineRule="atLeast"/>
        <w:jc w:val="center"/>
        <w:rPr>
          <w:rFonts w:hint="eastAsia" w:eastAsia="黑体"/>
          <w:b/>
          <w:bCs/>
          <w:sz w:val="28"/>
          <w:szCs w:val="28"/>
        </w:rPr>
      </w:pPr>
    </w:p>
    <w:p w14:paraId="78429659">
      <w:pPr>
        <w:spacing w:line="420" w:lineRule="atLeast"/>
        <w:jc w:val="center"/>
        <w:rPr>
          <w:rFonts w:hint="eastAsia" w:eastAsia="黑体"/>
          <w:b/>
          <w:bCs/>
          <w:sz w:val="28"/>
          <w:szCs w:val="28"/>
        </w:rPr>
      </w:pPr>
    </w:p>
    <w:p w14:paraId="4DE5866C">
      <w:pPr>
        <w:spacing w:line="420" w:lineRule="atLeast"/>
        <w:jc w:val="center"/>
        <w:rPr>
          <w:rFonts w:hint="eastAsia" w:eastAsia="黑体"/>
          <w:b/>
          <w:bCs/>
          <w:sz w:val="28"/>
          <w:szCs w:val="28"/>
        </w:rPr>
      </w:pPr>
    </w:p>
    <w:p w14:paraId="393F4FF2">
      <w:pPr>
        <w:spacing w:line="420" w:lineRule="atLeast"/>
        <w:jc w:val="center"/>
        <w:rPr>
          <w:rFonts w:hint="eastAsia" w:eastAsia="黑体"/>
          <w:b/>
          <w:bCs/>
          <w:sz w:val="28"/>
          <w:szCs w:val="28"/>
        </w:rPr>
      </w:pPr>
    </w:p>
    <w:p w14:paraId="648DDACA">
      <w:pPr>
        <w:spacing w:line="420" w:lineRule="atLeast"/>
        <w:jc w:val="center"/>
        <w:rPr>
          <w:rFonts w:hint="eastAsia" w:eastAsia="黑体"/>
          <w:b/>
          <w:bCs/>
          <w:sz w:val="28"/>
          <w:szCs w:val="28"/>
        </w:rPr>
      </w:pPr>
    </w:p>
    <w:p w14:paraId="6955503A">
      <w:pPr>
        <w:spacing w:line="420" w:lineRule="atLeast"/>
        <w:jc w:val="center"/>
        <w:rPr>
          <w:rFonts w:hint="eastAsia" w:eastAsia="黑体"/>
          <w:b/>
          <w:bCs/>
          <w:sz w:val="28"/>
          <w:szCs w:val="28"/>
        </w:rPr>
      </w:pPr>
    </w:p>
    <w:p w14:paraId="7012DCA9">
      <w:pPr>
        <w:spacing w:line="420" w:lineRule="atLeast"/>
        <w:jc w:val="center"/>
        <w:rPr>
          <w:rFonts w:hint="eastAsia" w:eastAsia="黑体"/>
          <w:b/>
          <w:bCs/>
          <w:sz w:val="28"/>
          <w:szCs w:val="28"/>
        </w:rPr>
      </w:pPr>
    </w:p>
    <w:p w14:paraId="71117DEC">
      <w:pPr>
        <w:spacing w:line="420" w:lineRule="atLeast"/>
        <w:jc w:val="both"/>
        <w:rPr>
          <w:rFonts w:hint="eastAsia" w:eastAsia="黑体"/>
          <w:b/>
          <w:bCs/>
          <w:sz w:val="28"/>
          <w:szCs w:val="28"/>
        </w:rPr>
      </w:pPr>
    </w:p>
    <w:p w14:paraId="6B710DC8">
      <w:pPr>
        <w:spacing w:line="420" w:lineRule="atLeast"/>
        <w:jc w:val="center"/>
        <w:rPr>
          <w:rFonts w:eastAsia="黑体"/>
          <w:b/>
          <w:bCs/>
          <w:sz w:val="28"/>
          <w:szCs w:val="28"/>
        </w:rPr>
      </w:pPr>
      <w:r>
        <w:rPr>
          <w:rFonts w:eastAsia="黑体"/>
          <w:b/>
          <w:bCs/>
          <w:sz w:val="28"/>
          <w:szCs w:val="28"/>
        </w:rPr>
        <w:t>一  遵守学术行为规范承诺</w:t>
      </w:r>
    </w:p>
    <w:p w14:paraId="6077321E">
      <w:pPr>
        <w:widowControl w:val="0"/>
        <w:spacing w:line="420" w:lineRule="atLeast"/>
        <w:ind w:firstLine="480" w:firstLineChars="200"/>
        <w:jc w:val="both"/>
        <w:rPr>
          <w:rFonts w:ascii="Times New Roman" w:hAnsi="Times New Roman" w:eastAsia="宋体" w:cs="Times New Roman"/>
          <w:kern w:val="0"/>
          <w:sz w:val="24"/>
          <w:szCs w:val="21"/>
          <w:lang w:val="en-US" w:eastAsia="zh-CN" w:bidi="ar-SA"/>
        </w:rPr>
      </w:pPr>
      <w:r>
        <w:rPr>
          <w:rFonts w:ascii="Times New Roman" w:hAnsi="宋体" w:eastAsia="宋体" w:cs="Times New Roman"/>
          <w:kern w:val="0"/>
          <w:sz w:val="24"/>
          <w:szCs w:val="21"/>
          <w:lang w:val="en-US" w:eastAsia="zh-CN" w:bidi="ar-SA"/>
        </w:rPr>
        <w:t>本人已熟知并愿意自觉遵守</w:t>
      </w:r>
      <w:r>
        <w:rPr>
          <w:rFonts w:hint="eastAsia" w:ascii="Times New Roman" w:hAnsi="宋体" w:eastAsia="宋体" w:cs="Times New Roman"/>
          <w:kern w:val="0"/>
          <w:sz w:val="24"/>
          <w:szCs w:val="21"/>
          <w:lang w:val="en-US" w:eastAsia="zh-CN" w:bidi="ar-SA"/>
        </w:rPr>
        <w:t>《学位论文作假行为处理办法（教育部令第34号）》、《高等学校预防与处理学术不端行为办法》和《厦门理工学院科研诚信建设与学术不端行为处理办法》等文件的所有内容，</w:t>
      </w:r>
      <w:r>
        <w:rPr>
          <w:rFonts w:ascii="Times New Roman" w:hAnsi="宋体" w:eastAsia="宋体" w:cs="Times New Roman"/>
          <w:kern w:val="0"/>
          <w:sz w:val="24"/>
          <w:szCs w:val="21"/>
          <w:lang w:val="en-US" w:eastAsia="zh-CN" w:bidi="ar-SA"/>
        </w:rPr>
        <w:t>承诺所提交的毕业和学位论文是终稿，不存在学术造假或学术不端行为，且论文的纸质版与电子版内容完全一致。</w:t>
      </w:r>
    </w:p>
    <w:p w14:paraId="498F049B">
      <w:pPr>
        <w:spacing w:line="420" w:lineRule="atLeast"/>
        <w:jc w:val="center"/>
        <w:rPr>
          <w:sz w:val="24"/>
        </w:rPr>
      </w:pPr>
    </w:p>
    <w:p w14:paraId="711B1FDB">
      <w:pPr>
        <w:spacing w:line="420" w:lineRule="atLeast"/>
        <w:jc w:val="center"/>
        <w:rPr>
          <w:rFonts w:eastAsia="黑体"/>
          <w:b/>
          <w:bCs/>
          <w:sz w:val="28"/>
          <w:szCs w:val="28"/>
        </w:rPr>
      </w:pPr>
      <w:r>
        <w:rPr>
          <w:rFonts w:eastAsia="黑体"/>
          <w:b/>
          <w:bCs/>
          <w:sz w:val="28"/>
          <w:szCs w:val="28"/>
        </w:rPr>
        <w:t>二  独创性声明</w:t>
      </w:r>
    </w:p>
    <w:p w14:paraId="29EE39A2">
      <w:pPr>
        <w:widowControl w:val="0"/>
        <w:spacing w:line="420" w:lineRule="atLeast"/>
        <w:ind w:firstLine="480" w:firstLineChars="200"/>
        <w:jc w:val="both"/>
        <w:rPr>
          <w:rFonts w:ascii="Times New Roman" w:hAnsi="Times New Roman" w:eastAsia="宋体" w:cs="Times New Roman"/>
          <w:kern w:val="0"/>
          <w:sz w:val="24"/>
          <w:szCs w:val="21"/>
          <w:lang w:val="en-US" w:eastAsia="zh-CN" w:bidi="ar-SA"/>
        </w:rPr>
      </w:pPr>
      <w:r>
        <w:rPr>
          <w:rFonts w:ascii="Times New Roman" w:hAnsi="宋体" w:eastAsia="宋体" w:cs="Times New Roman"/>
          <w:kern w:val="0"/>
          <w:sz w:val="24"/>
          <w:szCs w:val="21"/>
          <w:lang w:val="en-US" w:eastAsia="zh-CN" w:bidi="ar-SA"/>
        </w:rPr>
        <w:t>本人声明所提交的论文是我个人在导师指导下进行的研究工作及取得的研究成果。尽我所知，除了文中特别加以标注和致谢的地方外，论文中不包含其他人已经发表或撰写过的研究成果，也不包含为获得厦门理工学院或其他教育机构的学位或证书而使用过的材料。与我一同工作的同志对本研究所做的任何贡献均已在论文中作了明确的说明并表示了谢意。本人完全意识到本声明的法律结果由本人承担。</w:t>
      </w:r>
    </w:p>
    <w:p w14:paraId="3FEBCE10">
      <w:pPr>
        <w:spacing w:line="420" w:lineRule="atLeast"/>
        <w:jc w:val="center"/>
        <w:rPr>
          <w:b/>
          <w:bCs/>
          <w:sz w:val="24"/>
        </w:rPr>
      </w:pPr>
    </w:p>
    <w:p w14:paraId="40AA9210">
      <w:pPr>
        <w:spacing w:line="420" w:lineRule="atLeast"/>
        <w:jc w:val="center"/>
        <w:rPr>
          <w:rFonts w:eastAsia="黑体"/>
          <w:b/>
          <w:bCs/>
          <w:sz w:val="28"/>
          <w:szCs w:val="28"/>
        </w:rPr>
      </w:pPr>
      <w:r>
        <w:rPr>
          <w:rFonts w:eastAsia="黑体"/>
          <w:b/>
          <w:bCs/>
          <w:sz w:val="28"/>
          <w:szCs w:val="28"/>
        </w:rPr>
        <w:t>三  关于论文使用授权的说明</w:t>
      </w:r>
    </w:p>
    <w:p w14:paraId="3B2222EE">
      <w:pPr>
        <w:widowControl w:val="0"/>
        <w:spacing w:line="420" w:lineRule="atLeast"/>
        <w:ind w:firstLine="480" w:firstLineChars="200"/>
        <w:jc w:val="both"/>
        <w:rPr>
          <w:rFonts w:ascii="Times New Roman" w:hAnsi="Times New Roman" w:eastAsia="宋体" w:cs="Times New Roman"/>
          <w:kern w:val="0"/>
          <w:sz w:val="24"/>
          <w:szCs w:val="21"/>
          <w:lang w:val="en-US" w:eastAsia="zh-CN" w:bidi="ar-SA"/>
        </w:rPr>
      </w:pPr>
      <w:r>
        <w:rPr>
          <w:rFonts w:ascii="Times New Roman" w:hAnsi="宋体" w:eastAsia="宋体" w:cs="Times New Roman"/>
          <w:kern w:val="0"/>
          <w:sz w:val="24"/>
          <w:szCs w:val="21"/>
          <w:lang w:val="en-US" w:eastAsia="zh-CN" w:bidi="ar-SA"/>
        </w:rPr>
        <w:t>本人完全了解厦门理工学院有关保留使用学位论文的规定，即：学校有权保留送交论文的复印件，允许论文被查阅和借阅；学校可以公布论文的全部或部分内容，可以采用影印、缩印或其他复制手段保存论文。(保密的论文在解密后应遵守此规定)</w:t>
      </w:r>
    </w:p>
    <w:p w14:paraId="4F1C7DB4">
      <w:pPr>
        <w:tabs>
          <w:tab w:val="left" w:pos="5040"/>
        </w:tabs>
        <w:spacing w:line="420" w:lineRule="atLeast"/>
        <w:ind w:firstLine="472" w:firstLineChars="196"/>
        <w:rPr>
          <w:b/>
          <w:sz w:val="24"/>
        </w:rPr>
      </w:pPr>
      <w:r>
        <w:rPr>
          <w:rFonts w:hAnsi="宋体"/>
          <w:b/>
          <w:sz w:val="24"/>
        </w:rPr>
        <w:t>本学位论文属于(必须在以下相应方框内打</w:t>
      </w:r>
      <w:r>
        <w:rPr>
          <w:b/>
          <w:sz w:val="24"/>
        </w:rPr>
        <w:t>“√”</w:t>
      </w:r>
      <w:r>
        <w:rPr>
          <w:rFonts w:hAnsi="宋体"/>
          <w:b/>
          <w:sz w:val="24"/>
        </w:rPr>
        <w:t>，否则一律按</w:t>
      </w:r>
      <w:r>
        <w:rPr>
          <w:b/>
          <w:sz w:val="24"/>
        </w:rPr>
        <w:t>“</w:t>
      </w:r>
      <w:r>
        <w:rPr>
          <w:rFonts w:hAnsi="宋体"/>
          <w:b/>
          <w:sz w:val="24"/>
        </w:rPr>
        <w:t>非保密论文</w:t>
      </w:r>
      <w:r>
        <w:rPr>
          <w:b/>
          <w:sz w:val="24"/>
        </w:rPr>
        <w:t>”</w:t>
      </w:r>
      <w:r>
        <w:rPr>
          <w:rFonts w:hAnsi="宋体"/>
          <w:b/>
          <w:sz w:val="24"/>
        </w:rPr>
        <w:t>处理)：</w:t>
      </w:r>
    </w:p>
    <w:p w14:paraId="7808AB48">
      <w:pPr>
        <w:spacing w:line="420" w:lineRule="atLeast"/>
        <w:ind w:firstLine="480" w:firstLineChars="200"/>
        <w:rPr>
          <w:color w:val="000000"/>
          <w:sz w:val="24"/>
        </w:rPr>
      </w:pPr>
      <w:r>
        <w:rPr>
          <w:color w:val="000000"/>
          <w:sz w:val="24"/>
        </w:rPr>
        <w:t>1、保密论文：  □本学位论文属于保密，在</w:t>
      </w:r>
      <w:r>
        <w:rPr>
          <w:color w:val="000000"/>
          <w:sz w:val="24"/>
          <w:u w:val="single"/>
        </w:rPr>
        <w:t xml:space="preserve">      </w:t>
      </w:r>
      <w:r>
        <w:rPr>
          <w:color w:val="000000"/>
          <w:sz w:val="24"/>
        </w:rPr>
        <w:t>年解密后适用本授权书。</w:t>
      </w:r>
    </w:p>
    <w:p w14:paraId="49FA3960">
      <w:pPr>
        <w:spacing w:line="420" w:lineRule="atLeast"/>
        <w:ind w:firstLine="480" w:firstLineChars="200"/>
        <w:rPr>
          <w:color w:val="000000"/>
          <w:sz w:val="24"/>
        </w:rPr>
      </w:pPr>
      <w:r>
        <w:rPr>
          <w:color w:val="000000"/>
          <w:sz w:val="24"/>
        </w:rPr>
        <w:t>2、非保密论文：□本学位论文不属于保密范围，适用本授权书。</w:t>
      </w:r>
    </w:p>
    <w:p w14:paraId="77EB5D29">
      <w:pPr>
        <w:spacing w:line="420" w:lineRule="atLeast"/>
        <w:ind w:firstLine="480"/>
        <w:rPr>
          <w:sz w:val="24"/>
        </w:rPr>
      </w:pPr>
    </w:p>
    <w:p w14:paraId="24FEB72D">
      <w:pPr>
        <w:spacing w:line="420" w:lineRule="atLeast"/>
        <w:jc w:val="center"/>
        <w:rPr>
          <w:rFonts w:eastAsia="黑体"/>
          <w:sz w:val="24"/>
        </w:rPr>
      </w:pPr>
      <w:r>
        <w:rPr>
          <w:rFonts w:eastAsia="黑体"/>
          <w:sz w:val="24"/>
        </w:rPr>
        <w:t>研究生本人签名：                      签字日期：20   年  月  日</w:t>
      </w:r>
    </w:p>
    <w:p w14:paraId="0B23B679">
      <w:pPr>
        <w:spacing w:line="420" w:lineRule="atLeast"/>
        <w:jc w:val="center"/>
        <w:rPr>
          <w:rFonts w:eastAsia="黑体"/>
          <w:sz w:val="24"/>
        </w:rPr>
      </w:pPr>
    </w:p>
    <w:p w14:paraId="41835BDF">
      <w:pPr>
        <w:jc w:val="center"/>
        <w:rPr>
          <w:rFonts w:eastAsia="黑体"/>
          <w:sz w:val="24"/>
        </w:rPr>
      </w:pPr>
      <w:r>
        <w:rPr>
          <w:rFonts w:eastAsia="黑体"/>
          <w:sz w:val="24"/>
        </w:rPr>
        <w:t xml:space="preserve">研究生导师签名：                      签字日期：20  年 </w:t>
      </w:r>
      <w:r>
        <w:rPr>
          <w:rFonts w:hint="eastAsia" w:eastAsia="黑体"/>
          <w:sz w:val="24"/>
        </w:rPr>
        <w:t xml:space="preserve"> </w:t>
      </w:r>
      <w:r>
        <w:rPr>
          <w:rFonts w:eastAsia="黑体"/>
          <w:sz w:val="24"/>
        </w:rPr>
        <w:t xml:space="preserve"> 月  日</w:t>
      </w:r>
    </w:p>
    <w:p w14:paraId="081367B9">
      <w:pPr>
        <w:jc w:val="center"/>
        <w:rPr>
          <w:rFonts w:eastAsia="黑体"/>
          <w:sz w:val="24"/>
        </w:rPr>
      </w:pPr>
    </w:p>
    <w:p w14:paraId="33D8F4F7">
      <w:pPr>
        <w:jc w:val="center"/>
        <w:rPr>
          <w:rFonts w:eastAsia="黑体"/>
          <w:sz w:val="24"/>
        </w:rPr>
      </w:pPr>
    </w:p>
    <w:p w14:paraId="284C890F">
      <w:pPr>
        <w:jc w:val="center"/>
        <w:rPr>
          <w:rFonts w:eastAsia="黑体"/>
          <w:sz w:val="24"/>
        </w:rPr>
      </w:pPr>
    </w:p>
    <w:p w14:paraId="10513BE0">
      <w:pPr>
        <w:jc w:val="center"/>
        <w:rPr>
          <w:rFonts w:eastAsia="黑体"/>
          <w:sz w:val="24"/>
        </w:rPr>
      </w:pPr>
    </w:p>
    <w:p w14:paraId="040842E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dmMDQ3MDY3MDExM2U4NTA5NmQwMTYwN2E0MDRiMGUifQ=="/>
  </w:docVars>
  <w:rsids>
    <w:rsidRoot w:val="00000000"/>
    <w:rsid w:val="12A01FD2"/>
    <w:rsid w:val="6C1D58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Indent"/>
    <w:basedOn w:val="1"/>
    <w:uiPriority w:val="0"/>
    <w:pPr>
      <w:spacing w:line="300" w:lineRule="auto"/>
      <w:ind w:firstLine="560" w:firstLineChars="200"/>
    </w:pPr>
    <w:rPr>
      <w:kern w:val="0"/>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2023-09-15T14:27:00Z</dcterms:created>
  <dc:creator>Administrator</dc:creator>
  <cp:lastModifiedBy>檀为龙</cp:lastModifiedBy>
  <dcterms:modified xsi:type="dcterms:W3CDTF">2024-11-10T11:58:16Z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98AC8B8069FE4F16BD64AA5398E393A5_12</vt:lpwstr>
  </property>
</Properties>
</file>