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3DC47" w14:textId="79B8FF27" w:rsidR="006D11EB" w:rsidRDefault="006D11EB">
      <w:r>
        <w:t>Agenda:</w:t>
      </w:r>
    </w:p>
    <w:p w14:paraId="00C86887" w14:textId="02F41FA9" w:rsidR="006D11EB" w:rsidRDefault="006D11EB" w:rsidP="00623A8C">
      <w:pPr>
        <w:pStyle w:val="Heading1"/>
      </w:pPr>
      <w:r>
        <w:t>Introduction:</w:t>
      </w:r>
    </w:p>
    <w:p w14:paraId="44E987C4" w14:textId="77777777" w:rsidR="00E47E69" w:rsidRPr="00E47E69" w:rsidRDefault="00E47E69" w:rsidP="00E47E69">
      <w:r w:rsidRPr="00E47E69">
        <w:rPr>
          <w:b/>
          <w:bCs/>
        </w:rPr>
        <w:t>“This is a dataset.”</w:t>
      </w:r>
      <w:r w:rsidRPr="00E47E69">
        <w:br/>
      </w:r>
      <w:r w:rsidRPr="00E47E69">
        <w:rPr>
          <w:i/>
          <w:iCs/>
        </w:rPr>
        <w:t>(Show a big table of numbers – maybe your RGB spreadsheet or x/y grid.)</w:t>
      </w:r>
      <w:r w:rsidRPr="00E47E69">
        <w:br/>
      </w:r>
      <w:r w:rsidRPr="00E47E69">
        <w:rPr>
          <w:b/>
          <w:bCs/>
        </w:rPr>
        <w:t>What do you see?</w:t>
      </w:r>
      <w:r w:rsidRPr="00E47E69">
        <w:br/>
        <w:t xml:space="preserve">Probably nothing—because raw numbers aren’t built for human insight. But the second we </w:t>
      </w:r>
      <w:r w:rsidRPr="00E47E69">
        <w:rPr>
          <w:i/>
          <w:iCs/>
        </w:rPr>
        <w:t>see</w:t>
      </w:r>
      <w:r w:rsidRPr="00E47E69">
        <w:t xml:space="preserve"> the structure visually, everything changes.</w:t>
      </w:r>
    </w:p>
    <w:p w14:paraId="4E0A3AC0" w14:textId="77777777" w:rsidR="00E47E69" w:rsidRPr="00E47E69" w:rsidRDefault="00E47E69" w:rsidP="00E47E69">
      <w:r w:rsidRPr="00E47E69">
        <w:t xml:space="preserve">This talk is about that moment—when data becomes visible, when patterns emerge, and when insight clicks. We’ll look at how to design visualizations that don’t just decorate analysis—they </w:t>
      </w:r>
      <w:r w:rsidRPr="00E47E69">
        <w:rPr>
          <w:i/>
          <w:iCs/>
        </w:rPr>
        <w:t>drive</w:t>
      </w:r>
      <w:r w:rsidRPr="00E47E69">
        <w:t xml:space="preserve"> it.”</w:t>
      </w:r>
    </w:p>
    <w:p w14:paraId="13912553" w14:textId="77777777" w:rsidR="00E47E69" w:rsidRPr="00E47E69" w:rsidRDefault="00E47E69" w:rsidP="00E47E69"/>
    <w:p w14:paraId="0C822A8F" w14:textId="56CAED6A" w:rsidR="006D11EB" w:rsidRDefault="006D11EB" w:rsidP="00623A8C">
      <w:pPr>
        <w:pStyle w:val="Heading1"/>
      </w:pPr>
      <w:r>
        <w:t>Part 1: Some data is meant to be consumed visually.</w:t>
      </w:r>
    </w:p>
    <w:p w14:paraId="1296D273" w14:textId="77777777" w:rsidR="00676AC7" w:rsidRPr="00676AC7" w:rsidRDefault="00676AC7" w:rsidP="00676AC7">
      <w:r w:rsidRPr="00676AC7">
        <w:t xml:space="preserve">That spreadsheet you just saw—it only made sense once it became an image. Our brains aren’t wired to pull meaning from grids of numbers. But the moment we can </w:t>
      </w:r>
      <w:r w:rsidRPr="00676AC7">
        <w:rPr>
          <w:i/>
          <w:iCs/>
        </w:rPr>
        <w:t>see</w:t>
      </w:r>
      <w:r w:rsidRPr="00676AC7">
        <w:t xml:space="preserve"> the </w:t>
      </w:r>
      <w:proofErr w:type="gramStart"/>
      <w:r w:rsidRPr="00676AC7">
        <w:t>structure,</w:t>
      </w:r>
      <w:proofErr w:type="gramEnd"/>
      <w:r w:rsidRPr="00676AC7">
        <w:t xml:space="preserve"> we understand it intuitively.</w:t>
      </w:r>
    </w:p>
    <w:p w14:paraId="3F1440E5" w14:textId="77777777" w:rsidR="00676AC7" w:rsidRPr="00676AC7" w:rsidRDefault="00676AC7" w:rsidP="00676AC7">
      <w:r w:rsidRPr="00676AC7">
        <w:t>Now let’s take it a step further.</w:t>
      </w:r>
    </w:p>
    <w:p w14:paraId="070A7719" w14:textId="77777777" w:rsidR="00676AC7" w:rsidRDefault="00676AC7" w:rsidP="00676AC7">
      <w:r w:rsidRPr="00676AC7">
        <w:t xml:space="preserve">What happens when the stakes are higher—not just recognizing a pattern, but </w:t>
      </w:r>
      <w:proofErr w:type="gramStart"/>
      <w:r w:rsidRPr="00676AC7">
        <w:t>making a decision</w:t>
      </w:r>
      <w:proofErr w:type="gramEnd"/>
      <w:r w:rsidRPr="00676AC7">
        <w:t xml:space="preserve"> based on it?</w:t>
      </w:r>
    </w:p>
    <w:p w14:paraId="33AA4084" w14:textId="77777777" w:rsidR="00676AC7" w:rsidRPr="00676AC7" w:rsidRDefault="00676AC7" w:rsidP="00676AC7">
      <w:r w:rsidRPr="00676AC7">
        <w:t>“Here’s another dataset. Just a table of numbers.</w:t>
      </w:r>
    </w:p>
    <w:p w14:paraId="2579CB51" w14:textId="77777777" w:rsidR="00676AC7" w:rsidRPr="00676AC7" w:rsidRDefault="00676AC7" w:rsidP="00676AC7">
      <w:r w:rsidRPr="00676AC7">
        <w:t xml:space="preserve">It’s </w:t>
      </w:r>
      <w:proofErr w:type="gramStart"/>
      <w:r w:rsidRPr="00676AC7">
        <w:t>actually a</w:t>
      </w:r>
      <w:proofErr w:type="gramEnd"/>
      <w:r w:rsidRPr="00676AC7">
        <w:t xml:space="preserve"> 50x50 grid of elevation values. Technically, all the information is right here.</w:t>
      </w:r>
    </w:p>
    <w:p w14:paraId="4C79A137" w14:textId="77777777" w:rsidR="00676AC7" w:rsidRPr="00676AC7" w:rsidRDefault="00676AC7" w:rsidP="00676AC7">
      <w:r w:rsidRPr="00676AC7">
        <w:t>But what insight can you get from this? What decision could you confidently make based on this?”</w:t>
      </w:r>
      <w:r w:rsidRPr="00676AC7">
        <w:br/>
      </w:r>
      <w:r w:rsidRPr="00676AC7">
        <w:rPr>
          <w:i/>
          <w:iCs/>
        </w:rPr>
        <w:t>(Pause, let the audience feel the overwhelm.)</w:t>
      </w:r>
    </w:p>
    <w:p w14:paraId="418CB138" w14:textId="77777777" w:rsidR="00676AC7" w:rsidRPr="00676AC7" w:rsidRDefault="00676AC7" w:rsidP="00676AC7">
      <w:r w:rsidRPr="00676AC7">
        <w:t>“Let’s add some color. Even with just shading, structure starts to emerge. You begin to get a sense of ‘higher’ and ‘lower’ ground.</w:t>
      </w:r>
    </w:p>
    <w:p w14:paraId="4D7777B3" w14:textId="77777777" w:rsidR="00676AC7" w:rsidRPr="00676AC7" w:rsidRDefault="00676AC7" w:rsidP="00676AC7">
      <w:r w:rsidRPr="00676AC7">
        <w:t>Still—can you plan a route through this? Not really. Something’s still missing.”</w:t>
      </w:r>
      <w:r w:rsidRPr="00676AC7">
        <w:br/>
      </w:r>
      <w:r w:rsidRPr="00676AC7">
        <w:rPr>
          <w:i/>
          <w:iCs/>
        </w:rPr>
        <w:t>(Optional: skip this step if you want a quicker build-up)</w:t>
      </w:r>
    </w:p>
    <w:p w14:paraId="3EACA015" w14:textId="77777777" w:rsidR="00676AC7" w:rsidRPr="00676AC7" w:rsidRDefault="00676AC7" w:rsidP="00676AC7">
      <w:r w:rsidRPr="00676AC7">
        <w:t>“Now let’s visualize it properly.</w:t>
      </w:r>
    </w:p>
    <w:p w14:paraId="7F8611FA" w14:textId="77777777" w:rsidR="00676AC7" w:rsidRPr="00676AC7" w:rsidRDefault="00676AC7" w:rsidP="00676AC7">
      <w:r w:rsidRPr="00676AC7">
        <w:t>Same data. Same grid. But this time, you can clearly see the hills, valleys, and slopes.</w:t>
      </w:r>
    </w:p>
    <w:p w14:paraId="556CA78B" w14:textId="77777777" w:rsidR="00676AC7" w:rsidRPr="00676AC7" w:rsidRDefault="00676AC7" w:rsidP="00676AC7">
      <w:r w:rsidRPr="00676AC7">
        <w:lastRenderedPageBreak/>
        <w:t xml:space="preserve">In fact, if I told you to pick a safe and efficient path across this terrain—you could do it right now. Not because the data changed. But because you can </w:t>
      </w:r>
      <w:r w:rsidRPr="00676AC7">
        <w:rPr>
          <w:i/>
          <w:iCs/>
        </w:rPr>
        <w:t>see</w:t>
      </w:r>
      <w:r w:rsidRPr="00676AC7">
        <w:t xml:space="preserve"> the shape of the problem.”</w:t>
      </w:r>
      <w:r w:rsidRPr="00676AC7">
        <w:br/>
      </w:r>
      <w:r w:rsidRPr="00676AC7">
        <w:rPr>
          <w:i/>
          <w:iCs/>
        </w:rPr>
        <w:t>(Maybe gesture at the screen or animate a suggested path.)</w:t>
      </w:r>
    </w:p>
    <w:p w14:paraId="7CE3C4D5" w14:textId="77777777" w:rsidR="00676AC7" w:rsidRPr="00676AC7" w:rsidRDefault="00676AC7" w:rsidP="00676AC7">
      <w:r w:rsidRPr="00676AC7">
        <w:t>“This is what I mean when I say that visualization isn’t just about aesthetics—it’s about cognition.</w:t>
      </w:r>
    </w:p>
    <w:p w14:paraId="490315C4" w14:textId="77777777" w:rsidR="00676AC7" w:rsidRPr="00676AC7" w:rsidRDefault="00676AC7" w:rsidP="00676AC7">
      <w:r w:rsidRPr="00676AC7">
        <w:t xml:space="preserve">The numbers didn’t give us insight. The </w:t>
      </w:r>
      <w:r w:rsidRPr="00676AC7">
        <w:rPr>
          <w:i/>
          <w:iCs/>
        </w:rPr>
        <w:t>visual structure</w:t>
      </w:r>
      <w:r w:rsidRPr="00676AC7">
        <w:t xml:space="preserve"> did.</w:t>
      </w:r>
    </w:p>
    <w:p w14:paraId="1666D9BF" w14:textId="77777777" w:rsidR="00676AC7" w:rsidRPr="00676AC7" w:rsidRDefault="00676AC7" w:rsidP="00676AC7">
      <w:r w:rsidRPr="00676AC7">
        <w:t xml:space="preserve">And that’s the heart of Part 1: some data is simply meant to be seen. Without visual encoding, you’re not just missing clarity—you’re missing the </w:t>
      </w:r>
      <w:r w:rsidRPr="00676AC7">
        <w:rPr>
          <w:i/>
          <w:iCs/>
        </w:rPr>
        <w:t>entire meaning</w:t>
      </w:r>
      <w:r w:rsidRPr="00676AC7">
        <w:t xml:space="preserve"> of the data.”</w:t>
      </w:r>
    </w:p>
    <w:p w14:paraId="494F5EAC" w14:textId="77777777" w:rsidR="00676AC7" w:rsidRPr="00676AC7" w:rsidRDefault="00676AC7" w:rsidP="00676AC7"/>
    <w:p w14:paraId="2EE6F09B" w14:textId="77777777" w:rsidR="00676AC7" w:rsidRDefault="00676AC7" w:rsidP="003B26DF"/>
    <w:p w14:paraId="3B88966E" w14:textId="77777777" w:rsidR="003B26DF" w:rsidRDefault="003B26DF" w:rsidP="00623A8C">
      <w:pPr>
        <w:pStyle w:val="Heading2"/>
      </w:pPr>
      <w:r>
        <w:t>Translating visuals to action</w:t>
      </w:r>
      <w:r>
        <w:t xml:space="preserve">: </w:t>
      </w:r>
    </w:p>
    <w:p w14:paraId="66C64A31" w14:textId="04019E15" w:rsidR="003B26DF" w:rsidRPr="003B26DF" w:rsidRDefault="003B26DF">
      <w:r>
        <w:t>Visual</w:t>
      </w:r>
      <w:r>
        <w:t xml:space="preserve">: A dataset that contains a </w:t>
      </w:r>
      <w:proofErr w:type="spellStart"/>
      <w:proofErr w:type="gramStart"/>
      <w:r>
        <w:t>x,y</w:t>
      </w:r>
      <w:proofErr w:type="spellEnd"/>
      <w:proofErr w:type="gramEnd"/>
      <w:r>
        <w:t xml:space="preserve"> grid with values.  Upon converting the data into a visualization with elevation bands, viewers understand that this a Topographic map.  Furthermore, armed with this information and tasked with plotting a path to navigate the map, viewers can easily pick the best path, but only because they can see the data visually.</w:t>
      </w:r>
    </w:p>
    <w:p w14:paraId="563B21AA" w14:textId="4202DE57" w:rsidR="006D11EB" w:rsidRDefault="006D11EB" w:rsidP="00623A8C">
      <w:pPr>
        <w:pStyle w:val="Heading2"/>
      </w:pPr>
      <w:r>
        <w:t>Beyond the numbers with Anscombe Quartet</w:t>
      </w:r>
    </w:p>
    <w:p w14:paraId="4F258C8F" w14:textId="7497077D" w:rsidR="003B26DF" w:rsidRDefault="003B26DF">
      <w:r>
        <w:t>Visual: This one is famous.  I am sure you have heard of it.  The lesson to portray to the audience is that measures of central tendency can obscure the underlying patterns of the data and hide otherwise obvious insights.</w:t>
      </w:r>
    </w:p>
    <w:p w14:paraId="5C5B53E1" w14:textId="21BA3344" w:rsidR="006D11EB" w:rsidRDefault="006D11EB" w:rsidP="00623A8C">
      <w:pPr>
        <w:pStyle w:val="Heading1"/>
      </w:pPr>
      <w:r>
        <w:t>Part 2: The Grammar of Graphics</w:t>
      </w:r>
    </w:p>
    <w:p w14:paraId="4853E3E3" w14:textId="77777777" w:rsidR="0026243E" w:rsidRDefault="0026243E" w:rsidP="0026243E">
      <w:r>
        <w:t>Encoding: Converting something from one system of communication to another.  How numbers and information are converted for visual consumption.</w:t>
      </w:r>
    </w:p>
    <w:p w14:paraId="3EF4D6D7" w14:textId="77777777" w:rsidR="008A75C8" w:rsidRDefault="008A75C8" w:rsidP="008A75C8">
      <w:r>
        <w:t>Data observations:</w:t>
      </w:r>
    </w:p>
    <w:p w14:paraId="51E2BF62" w14:textId="59E10CEA" w:rsidR="008A75C8" w:rsidRDefault="008A75C8" w:rsidP="008A75C8">
      <w:r>
        <w:t xml:space="preserve">Transformations: </w:t>
      </w:r>
      <w:r w:rsidR="00026075">
        <w:t>How do we need to manipulate our data for analysis?</w:t>
      </w:r>
    </w:p>
    <w:p w14:paraId="02D5052C" w14:textId="77777777" w:rsidR="008A75C8" w:rsidRDefault="008A75C8" w:rsidP="00C84DB1">
      <w:pPr>
        <w:ind w:firstLine="720"/>
      </w:pPr>
      <w:r>
        <w:t>Granular/Aggregated?</w:t>
      </w:r>
    </w:p>
    <w:p w14:paraId="4134120C" w14:textId="296B79EC" w:rsidR="008A75C8" w:rsidRDefault="00A22328" w:rsidP="00C84DB1">
      <w:pPr>
        <w:ind w:firstLine="720"/>
      </w:pPr>
      <w:r>
        <w:t>Group by/</w:t>
      </w:r>
      <w:r w:rsidR="008A75C8">
        <w:t>Calculations/Standardizations?</w:t>
      </w:r>
    </w:p>
    <w:p w14:paraId="5B1695C0" w14:textId="47182EDB" w:rsidR="00877621" w:rsidRDefault="008A75C8">
      <w:r>
        <w:t xml:space="preserve">Scaffolding: </w:t>
      </w:r>
      <w:r w:rsidR="00877621">
        <w:t>Plot area</w:t>
      </w:r>
      <w:r w:rsidR="00C84DB1">
        <w:t>.  Canvas.</w:t>
      </w:r>
    </w:p>
    <w:p w14:paraId="3FB6DB59" w14:textId="536CBDCE" w:rsidR="00C84DB1" w:rsidRDefault="00C84DB1" w:rsidP="00C84DB1">
      <w:pPr>
        <w:ind w:firstLine="720"/>
      </w:pPr>
      <w:r>
        <w:t>Axis, Scale, Orientation</w:t>
      </w:r>
    </w:p>
    <w:p w14:paraId="1D65A464" w14:textId="2A0CF399" w:rsidR="005A6DE2" w:rsidRDefault="005A6DE2" w:rsidP="00CF364E">
      <w:r>
        <w:lastRenderedPageBreak/>
        <w:t>Encode data as objects in space</w:t>
      </w:r>
    </w:p>
    <w:p w14:paraId="67858A5D" w14:textId="434DDEB5" w:rsidR="00CF364E" w:rsidRDefault="00CF364E" w:rsidP="00CF364E">
      <w:r>
        <w:t>Objects:</w:t>
      </w:r>
    </w:p>
    <w:p w14:paraId="47EAA9AE" w14:textId="115FCFC2" w:rsidR="00CF364E" w:rsidRDefault="00CF364E" w:rsidP="00CF364E">
      <w:pPr>
        <w:ind w:firstLine="720"/>
      </w:pPr>
      <w:r>
        <w:t xml:space="preserve">Categoric: </w:t>
      </w:r>
      <w:r w:rsidR="00812E77">
        <w:t>Shape, Color, Label</w:t>
      </w:r>
    </w:p>
    <w:p w14:paraId="7FB3A2C6" w14:textId="347D94E1" w:rsidR="00812E77" w:rsidRDefault="00812E77" w:rsidP="00CF364E">
      <w:pPr>
        <w:ind w:firstLine="720"/>
      </w:pPr>
      <w:r>
        <w:t>Continuous: Shade, Size</w:t>
      </w:r>
    </w:p>
    <w:p w14:paraId="3D963EC2" w14:textId="16D75D2B" w:rsidR="00812E77" w:rsidRDefault="00967A76" w:rsidP="00812E77">
      <w:r>
        <w:t>Spatial:</w:t>
      </w:r>
    </w:p>
    <w:p w14:paraId="19DC8B6A" w14:textId="774B9635" w:rsidR="00967A76" w:rsidRDefault="00967A76" w:rsidP="00812E77">
      <w:r>
        <w:tab/>
        <w:t>Categoric: Series</w:t>
      </w:r>
      <w:r w:rsidR="005F569A">
        <w:t>, Facets</w:t>
      </w:r>
      <w:r w:rsidR="00BC19AC">
        <w:t>, order(time)</w:t>
      </w:r>
    </w:p>
    <w:p w14:paraId="1CB9E38D" w14:textId="689A0609" w:rsidR="005F569A" w:rsidRDefault="005F569A" w:rsidP="00812E77">
      <w:r>
        <w:tab/>
        <w:t>Continuous: Position, proximity, density</w:t>
      </w:r>
      <w:r w:rsidR="00BC19AC">
        <w:t>, siz</w:t>
      </w:r>
      <w:r w:rsidR="00CF314B">
        <w:t>e</w:t>
      </w:r>
      <w:r w:rsidR="00BC19AC">
        <w:t xml:space="preserve"> </w:t>
      </w:r>
    </w:p>
    <w:p w14:paraId="5D4B5960" w14:textId="05D153DA" w:rsidR="006D11EB" w:rsidRDefault="006D11EB" w:rsidP="00623A8C">
      <w:pPr>
        <w:pStyle w:val="Heading1"/>
      </w:pPr>
      <w:r>
        <w:t>Part 3: Put it into practice</w:t>
      </w:r>
    </w:p>
    <w:p w14:paraId="145A2FF5" w14:textId="1D36FF9B" w:rsidR="00750108" w:rsidRDefault="0037079D">
      <w:r>
        <w:t xml:space="preserve">Pro Tip: Attempt to describe the </w:t>
      </w:r>
      <w:r w:rsidR="0058641E">
        <w:t xml:space="preserve">top of exploration in plain </w:t>
      </w:r>
      <w:r w:rsidR="00BF1318">
        <w:t>English.</w:t>
      </w:r>
    </w:p>
    <w:p w14:paraId="44C38FF9" w14:textId="014BA444" w:rsidR="00623A8C" w:rsidRDefault="00623A8C" w:rsidP="00623A8C">
      <w:pPr>
        <w:pStyle w:val="Heading2"/>
      </w:pPr>
      <w:r>
        <w:t>Exercise</w:t>
      </w:r>
      <w:r w:rsidR="00AB6630">
        <w:t xml:space="preserve"> 1:</w:t>
      </w:r>
      <w:r>
        <w:t xml:space="preserve"> </w:t>
      </w:r>
    </w:p>
    <w:p w14:paraId="06429FE3" w14:textId="015569AC" w:rsidR="00BF1318" w:rsidRDefault="00BF1318">
      <w:r>
        <w:t xml:space="preserve">Compare two means with a p </w:t>
      </w:r>
      <w:proofErr w:type="spellStart"/>
      <w:r>
        <w:t>val</w:t>
      </w:r>
      <w:proofErr w:type="spellEnd"/>
      <w:r>
        <w:t xml:space="preserve"> of 99%</w:t>
      </w:r>
    </w:p>
    <w:p w14:paraId="3EA3B2B7" w14:textId="734A9C60" w:rsidR="000B1EEA" w:rsidRDefault="000B1EEA">
      <w:r>
        <w:t xml:space="preserve">So </w:t>
      </w:r>
      <w:proofErr w:type="gramStart"/>
      <w:r>
        <w:t>really</w:t>
      </w:r>
      <w:proofErr w:type="gramEnd"/>
      <w:r>
        <w:t xml:space="preserve"> I am comparing two distributions that have been found to likely be dis-similar.  Ok easy, we should be able to see this visually.</w:t>
      </w:r>
    </w:p>
    <w:p w14:paraId="5B1F9A44" w14:textId="56F5B577" w:rsidR="000B1EEA" w:rsidRDefault="000B1EEA">
      <w:r>
        <w:t>Visual creation process.</w:t>
      </w:r>
    </w:p>
    <w:p w14:paraId="76D5A1E4" w14:textId="77777777" w:rsidR="00A22328" w:rsidRDefault="000B1EEA">
      <w:r>
        <w:t xml:space="preserve">Data Transformation: </w:t>
      </w:r>
    </w:p>
    <w:p w14:paraId="4041DB92" w14:textId="16E3649B" w:rsidR="000B1EEA" w:rsidRDefault="000B1EEA" w:rsidP="00491F2C">
      <w:pPr>
        <w:pStyle w:val="ListParagraph"/>
        <w:numPr>
          <w:ilvl w:val="0"/>
          <w:numId w:val="1"/>
        </w:numPr>
      </w:pPr>
      <w:r>
        <w:t>Binning</w:t>
      </w:r>
      <w:r w:rsidR="00A22328">
        <w:t xml:space="preserve"> - Group by </w:t>
      </w:r>
    </w:p>
    <w:p w14:paraId="32889A16" w14:textId="29CF6241" w:rsidR="00A22328" w:rsidRDefault="00A22328" w:rsidP="00491F2C">
      <w:pPr>
        <w:pStyle w:val="ListParagraph"/>
        <w:numPr>
          <w:ilvl w:val="0"/>
          <w:numId w:val="1"/>
        </w:numPr>
      </w:pPr>
      <w:r>
        <w:t xml:space="preserve">KDE – Standardize </w:t>
      </w:r>
      <w:r w:rsidR="00491F2C">
        <w:t>for compatibility</w:t>
      </w:r>
    </w:p>
    <w:p w14:paraId="57A2D42E" w14:textId="376EC22A" w:rsidR="00491F2C" w:rsidRDefault="00491F2C" w:rsidP="00491F2C">
      <w:pPr>
        <w:pStyle w:val="ListParagraph"/>
        <w:numPr>
          <w:ilvl w:val="0"/>
          <w:numId w:val="1"/>
        </w:numPr>
      </w:pPr>
      <w:r>
        <w:t>Plot</w:t>
      </w:r>
    </w:p>
    <w:p w14:paraId="5B963F51" w14:textId="03131EA1" w:rsidR="00AB6630" w:rsidRDefault="00AB6630" w:rsidP="00491F2C">
      <w:pPr>
        <w:pStyle w:val="ListParagraph"/>
        <w:numPr>
          <w:ilvl w:val="0"/>
          <w:numId w:val="1"/>
        </w:numPr>
      </w:pPr>
      <w:r>
        <w:t>Evaluate</w:t>
      </w:r>
    </w:p>
    <w:p w14:paraId="764774A8" w14:textId="4D07207A" w:rsidR="00623A8C" w:rsidRDefault="00623A8C" w:rsidP="00623A8C">
      <w:pPr>
        <w:pStyle w:val="Heading2"/>
      </w:pPr>
      <w:r>
        <w:t xml:space="preserve">Exercise </w:t>
      </w:r>
      <w:r>
        <w:t>2</w:t>
      </w:r>
      <w:r>
        <w:t xml:space="preserve">: </w:t>
      </w:r>
    </w:p>
    <w:p w14:paraId="58BF4263" w14:textId="2575CE60" w:rsidR="00AB6630" w:rsidRDefault="00723286" w:rsidP="00AB6630">
      <w:r>
        <w:t>Wolves</w:t>
      </w:r>
      <w:r w:rsidR="00623A8C">
        <w:t>:</w:t>
      </w:r>
    </w:p>
    <w:sectPr w:rsidR="00AB6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3505A6"/>
    <w:multiLevelType w:val="hybridMultilevel"/>
    <w:tmpl w:val="F632A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426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EB"/>
    <w:rsid w:val="00026075"/>
    <w:rsid w:val="000B1EEA"/>
    <w:rsid w:val="0026243E"/>
    <w:rsid w:val="003600B3"/>
    <w:rsid w:val="0037079D"/>
    <w:rsid w:val="003B26DF"/>
    <w:rsid w:val="00491F2C"/>
    <w:rsid w:val="004E4123"/>
    <w:rsid w:val="0058641E"/>
    <w:rsid w:val="005A6DE2"/>
    <w:rsid w:val="005F569A"/>
    <w:rsid w:val="00623A8C"/>
    <w:rsid w:val="006259F8"/>
    <w:rsid w:val="00676AC7"/>
    <w:rsid w:val="00696366"/>
    <w:rsid w:val="006D11EB"/>
    <w:rsid w:val="00723286"/>
    <w:rsid w:val="00750108"/>
    <w:rsid w:val="00762CC7"/>
    <w:rsid w:val="00812E77"/>
    <w:rsid w:val="00877621"/>
    <w:rsid w:val="008A75C8"/>
    <w:rsid w:val="00967A76"/>
    <w:rsid w:val="00981A35"/>
    <w:rsid w:val="00A22328"/>
    <w:rsid w:val="00A23558"/>
    <w:rsid w:val="00AB6630"/>
    <w:rsid w:val="00B80AEB"/>
    <w:rsid w:val="00BC19AC"/>
    <w:rsid w:val="00BF1318"/>
    <w:rsid w:val="00C61774"/>
    <w:rsid w:val="00C84DB1"/>
    <w:rsid w:val="00CF314B"/>
    <w:rsid w:val="00CF364E"/>
    <w:rsid w:val="00CF5490"/>
    <w:rsid w:val="00D2405F"/>
    <w:rsid w:val="00E47E69"/>
    <w:rsid w:val="00EC38A3"/>
    <w:rsid w:val="00FB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5EF8"/>
  <w15:chartTrackingRefBased/>
  <w15:docId w15:val="{AA73412A-1B42-43E8-AC6A-6AF69F76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1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1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1EB"/>
    <w:rPr>
      <w:rFonts w:eastAsiaTheme="majorEastAsia" w:cstheme="majorBidi"/>
      <w:color w:val="272727" w:themeColor="text1" w:themeTint="D8"/>
    </w:rPr>
  </w:style>
  <w:style w:type="paragraph" w:styleId="Title">
    <w:name w:val="Title"/>
    <w:basedOn w:val="Normal"/>
    <w:next w:val="Normal"/>
    <w:link w:val="TitleChar"/>
    <w:uiPriority w:val="10"/>
    <w:qFormat/>
    <w:rsid w:val="006D1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1EB"/>
    <w:pPr>
      <w:spacing w:before="160"/>
      <w:jc w:val="center"/>
    </w:pPr>
    <w:rPr>
      <w:i/>
      <w:iCs/>
      <w:color w:val="404040" w:themeColor="text1" w:themeTint="BF"/>
    </w:rPr>
  </w:style>
  <w:style w:type="character" w:customStyle="1" w:styleId="QuoteChar">
    <w:name w:val="Quote Char"/>
    <w:basedOn w:val="DefaultParagraphFont"/>
    <w:link w:val="Quote"/>
    <w:uiPriority w:val="29"/>
    <w:rsid w:val="006D11EB"/>
    <w:rPr>
      <w:i/>
      <w:iCs/>
      <w:color w:val="404040" w:themeColor="text1" w:themeTint="BF"/>
    </w:rPr>
  </w:style>
  <w:style w:type="paragraph" w:styleId="ListParagraph">
    <w:name w:val="List Paragraph"/>
    <w:basedOn w:val="Normal"/>
    <w:uiPriority w:val="34"/>
    <w:qFormat/>
    <w:rsid w:val="006D11EB"/>
    <w:pPr>
      <w:ind w:left="720"/>
      <w:contextualSpacing/>
    </w:pPr>
  </w:style>
  <w:style w:type="character" w:styleId="IntenseEmphasis">
    <w:name w:val="Intense Emphasis"/>
    <w:basedOn w:val="DefaultParagraphFont"/>
    <w:uiPriority w:val="21"/>
    <w:qFormat/>
    <w:rsid w:val="006D11EB"/>
    <w:rPr>
      <w:i/>
      <w:iCs/>
      <w:color w:val="0F4761" w:themeColor="accent1" w:themeShade="BF"/>
    </w:rPr>
  </w:style>
  <w:style w:type="paragraph" w:styleId="IntenseQuote">
    <w:name w:val="Intense Quote"/>
    <w:basedOn w:val="Normal"/>
    <w:next w:val="Normal"/>
    <w:link w:val="IntenseQuoteChar"/>
    <w:uiPriority w:val="30"/>
    <w:qFormat/>
    <w:rsid w:val="006D1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1EB"/>
    <w:rPr>
      <w:i/>
      <w:iCs/>
      <w:color w:val="0F4761" w:themeColor="accent1" w:themeShade="BF"/>
    </w:rPr>
  </w:style>
  <w:style w:type="character" w:styleId="IntenseReference">
    <w:name w:val="Intense Reference"/>
    <w:basedOn w:val="DefaultParagraphFont"/>
    <w:uiPriority w:val="32"/>
    <w:qFormat/>
    <w:rsid w:val="006D11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573327">
      <w:bodyDiv w:val="1"/>
      <w:marLeft w:val="0"/>
      <w:marRight w:val="0"/>
      <w:marTop w:val="0"/>
      <w:marBottom w:val="0"/>
      <w:divBdr>
        <w:top w:val="none" w:sz="0" w:space="0" w:color="auto"/>
        <w:left w:val="none" w:sz="0" w:space="0" w:color="auto"/>
        <w:bottom w:val="none" w:sz="0" w:space="0" w:color="auto"/>
        <w:right w:val="none" w:sz="0" w:space="0" w:color="auto"/>
      </w:divBdr>
    </w:div>
    <w:div w:id="366955427">
      <w:bodyDiv w:val="1"/>
      <w:marLeft w:val="0"/>
      <w:marRight w:val="0"/>
      <w:marTop w:val="0"/>
      <w:marBottom w:val="0"/>
      <w:divBdr>
        <w:top w:val="none" w:sz="0" w:space="0" w:color="auto"/>
        <w:left w:val="none" w:sz="0" w:space="0" w:color="auto"/>
        <w:bottom w:val="none" w:sz="0" w:space="0" w:color="auto"/>
        <w:right w:val="none" w:sz="0" w:space="0" w:color="auto"/>
      </w:divBdr>
    </w:div>
    <w:div w:id="429089348">
      <w:bodyDiv w:val="1"/>
      <w:marLeft w:val="0"/>
      <w:marRight w:val="0"/>
      <w:marTop w:val="0"/>
      <w:marBottom w:val="0"/>
      <w:divBdr>
        <w:top w:val="none" w:sz="0" w:space="0" w:color="auto"/>
        <w:left w:val="none" w:sz="0" w:space="0" w:color="auto"/>
        <w:bottom w:val="none" w:sz="0" w:space="0" w:color="auto"/>
        <w:right w:val="none" w:sz="0" w:space="0" w:color="auto"/>
      </w:divBdr>
    </w:div>
    <w:div w:id="652948816">
      <w:bodyDiv w:val="1"/>
      <w:marLeft w:val="0"/>
      <w:marRight w:val="0"/>
      <w:marTop w:val="0"/>
      <w:marBottom w:val="0"/>
      <w:divBdr>
        <w:top w:val="none" w:sz="0" w:space="0" w:color="auto"/>
        <w:left w:val="none" w:sz="0" w:space="0" w:color="auto"/>
        <w:bottom w:val="none" w:sz="0" w:space="0" w:color="auto"/>
        <w:right w:val="none" w:sz="0" w:space="0" w:color="auto"/>
      </w:divBdr>
    </w:div>
    <w:div w:id="754517032">
      <w:bodyDiv w:val="1"/>
      <w:marLeft w:val="0"/>
      <w:marRight w:val="0"/>
      <w:marTop w:val="0"/>
      <w:marBottom w:val="0"/>
      <w:divBdr>
        <w:top w:val="none" w:sz="0" w:space="0" w:color="auto"/>
        <w:left w:val="none" w:sz="0" w:space="0" w:color="auto"/>
        <w:bottom w:val="none" w:sz="0" w:space="0" w:color="auto"/>
        <w:right w:val="none" w:sz="0" w:space="0" w:color="auto"/>
      </w:divBdr>
    </w:div>
    <w:div w:id="854003671">
      <w:bodyDiv w:val="1"/>
      <w:marLeft w:val="0"/>
      <w:marRight w:val="0"/>
      <w:marTop w:val="0"/>
      <w:marBottom w:val="0"/>
      <w:divBdr>
        <w:top w:val="none" w:sz="0" w:space="0" w:color="auto"/>
        <w:left w:val="none" w:sz="0" w:space="0" w:color="auto"/>
        <w:bottom w:val="none" w:sz="0" w:space="0" w:color="auto"/>
        <w:right w:val="none" w:sz="0" w:space="0" w:color="auto"/>
      </w:divBdr>
    </w:div>
    <w:div w:id="1171063273">
      <w:bodyDiv w:val="1"/>
      <w:marLeft w:val="0"/>
      <w:marRight w:val="0"/>
      <w:marTop w:val="0"/>
      <w:marBottom w:val="0"/>
      <w:divBdr>
        <w:top w:val="none" w:sz="0" w:space="0" w:color="auto"/>
        <w:left w:val="none" w:sz="0" w:space="0" w:color="auto"/>
        <w:bottom w:val="none" w:sz="0" w:space="0" w:color="auto"/>
        <w:right w:val="none" w:sz="0" w:space="0" w:color="auto"/>
      </w:divBdr>
    </w:div>
    <w:div w:id="1220871260">
      <w:bodyDiv w:val="1"/>
      <w:marLeft w:val="0"/>
      <w:marRight w:val="0"/>
      <w:marTop w:val="0"/>
      <w:marBottom w:val="0"/>
      <w:divBdr>
        <w:top w:val="none" w:sz="0" w:space="0" w:color="auto"/>
        <w:left w:val="none" w:sz="0" w:space="0" w:color="auto"/>
        <w:bottom w:val="none" w:sz="0" w:space="0" w:color="auto"/>
        <w:right w:val="none" w:sz="0" w:space="0" w:color="auto"/>
      </w:divBdr>
    </w:div>
    <w:div w:id="1348487321">
      <w:bodyDiv w:val="1"/>
      <w:marLeft w:val="0"/>
      <w:marRight w:val="0"/>
      <w:marTop w:val="0"/>
      <w:marBottom w:val="0"/>
      <w:divBdr>
        <w:top w:val="none" w:sz="0" w:space="0" w:color="auto"/>
        <w:left w:val="none" w:sz="0" w:space="0" w:color="auto"/>
        <w:bottom w:val="none" w:sz="0" w:space="0" w:color="auto"/>
        <w:right w:val="none" w:sz="0" w:space="0" w:color="auto"/>
      </w:divBdr>
    </w:div>
    <w:div w:id="1545168940">
      <w:bodyDiv w:val="1"/>
      <w:marLeft w:val="0"/>
      <w:marRight w:val="0"/>
      <w:marTop w:val="0"/>
      <w:marBottom w:val="0"/>
      <w:divBdr>
        <w:top w:val="none" w:sz="0" w:space="0" w:color="auto"/>
        <w:left w:val="none" w:sz="0" w:space="0" w:color="auto"/>
        <w:bottom w:val="none" w:sz="0" w:space="0" w:color="auto"/>
        <w:right w:val="none" w:sz="0" w:space="0" w:color="auto"/>
      </w:divBdr>
    </w:div>
    <w:div w:id="1619682258">
      <w:bodyDiv w:val="1"/>
      <w:marLeft w:val="0"/>
      <w:marRight w:val="0"/>
      <w:marTop w:val="0"/>
      <w:marBottom w:val="0"/>
      <w:divBdr>
        <w:top w:val="none" w:sz="0" w:space="0" w:color="auto"/>
        <w:left w:val="none" w:sz="0" w:space="0" w:color="auto"/>
        <w:bottom w:val="none" w:sz="0" w:space="0" w:color="auto"/>
        <w:right w:val="none" w:sz="0" w:space="0" w:color="auto"/>
      </w:divBdr>
    </w:div>
    <w:div w:id="1634365393">
      <w:bodyDiv w:val="1"/>
      <w:marLeft w:val="0"/>
      <w:marRight w:val="0"/>
      <w:marTop w:val="0"/>
      <w:marBottom w:val="0"/>
      <w:divBdr>
        <w:top w:val="none" w:sz="0" w:space="0" w:color="auto"/>
        <w:left w:val="none" w:sz="0" w:space="0" w:color="auto"/>
        <w:bottom w:val="none" w:sz="0" w:space="0" w:color="auto"/>
        <w:right w:val="none" w:sz="0" w:space="0" w:color="auto"/>
      </w:divBdr>
    </w:div>
    <w:div w:id="2005814703">
      <w:bodyDiv w:val="1"/>
      <w:marLeft w:val="0"/>
      <w:marRight w:val="0"/>
      <w:marTop w:val="0"/>
      <w:marBottom w:val="0"/>
      <w:divBdr>
        <w:top w:val="none" w:sz="0" w:space="0" w:color="auto"/>
        <w:left w:val="none" w:sz="0" w:space="0" w:color="auto"/>
        <w:bottom w:val="none" w:sz="0" w:space="0" w:color="auto"/>
        <w:right w:val="none" w:sz="0" w:space="0" w:color="auto"/>
      </w:divBdr>
    </w:div>
    <w:div w:id="212857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Carlson</dc:creator>
  <cp:keywords/>
  <dc:description/>
  <cp:lastModifiedBy>Derick Carlson</cp:lastModifiedBy>
  <cp:revision>34</cp:revision>
  <dcterms:created xsi:type="dcterms:W3CDTF">2025-04-01T10:06:00Z</dcterms:created>
  <dcterms:modified xsi:type="dcterms:W3CDTF">2025-04-09T01:57:00Z</dcterms:modified>
</cp:coreProperties>
</file>