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bidiVisual w:val="true"/>
        <w:tblW w:w="8634" w:type="dxa"/>
        <w:jc w:val="end"/>
        <w:tblInd w:w="0" w:type="dxa"/>
        <w:tblLayout w:type="fixed"/>
        <w:tblCellMar>
          <w:top w:w="0" w:type="dxa"/>
          <w:start w:w="108" w:type="dxa"/>
          <w:bottom w:w="0" w:type="dxa"/>
          <w:end w:w="108" w:type="dxa"/>
        </w:tblCellMar>
      </w:tblPr>
      <w:tblGrid>
        <w:gridCol w:w="4485"/>
        <w:gridCol w:w="4149"/>
      </w:tblGrid>
      <w:tr>
        <w:trPr/>
        <w:tc>
          <w:tcPr>
            <w:tcW w:w="4485" w:type="dxa"/>
            <w:tcBorders/>
          </w:tcPr>
          <w:p>
            <w:pPr>
              <w:pStyle w:val="Header"/>
              <w:ind w:end="0"/>
              <w:jc w:val="center"/>
              <w:rPr>
                <w:sz w:val="28"/>
                <w:szCs w:val="28"/>
              </w:rPr>
            </w:pPr>
            <w:r>
              <w:rPr>
                <w:rFonts w:cs="Narkisim"/>
                <w:sz w:val="28"/>
                <w:sz w:val="28"/>
                <w:szCs w:val="28"/>
                <w:rtl w:val="true"/>
              </w:rPr>
              <w:t>מדינת</w:t>
            </w:r>
            <w:r>
              <w:rPr>
                <w:rFonts w:cs="Times New Roman"/>
                <w:sz w:val="28"/>
                <w:sz w:val="28"/>
                <w:szCs w:val="28"/>
                <w:rtl w:val="true"/>
              </w:rPr>
              <w:t xml:space="preserve"> </w:t>
            </w:r>
            <w:r>
              <w:rPr>
                <w:rFonts w:cs="Narkisim"/>
                <w:sz w:val="28"/>
                <w:sz w:val="28"/>
                <w:szCs w:val="28"/>
                <w:rtl w:val="true"/>
              </w:rPr>
              <w:t>ישראל</w:t>
            </w:r>
          </w:p>
          <w:p>
            <w:pPr>
              <w:pStyle w:val="Header"/>
              <w:ind w:end="0"/>
              <w:jc w:val="center"/>
              <w:rPr>
                <w:sz w:val="28"/>
                <w:szCs w:val="28"/>
              </w:rPr>
            </w:pPr>
            <w:r>
              <w:rPr>
                <w:rFonts w:cs="Narkisim"/>
                <w:sz w:val="28"/>
                <w:sz w:val="28"/>
                <w:szCs w:val="28"/>
                <w:rtl w:val="true"/>
              </w:rPr>
              <w:t>ועדת</w:t>
            </w:r>
            <w:r>
              <w:rPr>
                <w:rFonts w:cs="Times New Roman"/>
                <w:sz w:val="28"/>
                <w:sz w:val="28"/>
                <w:szCs w:val="28"/>
                <w:rtl w:val="true"/>
              </w:rPr>
              <w:t xml:space="preserve"> </w:t>
            </w:r>
            <w:r>
              <w:rPr>
                <w:rFonts w:cs="Narkisim"/>
                <w:sz w:val="28"/>
                <w:sz w:val="28"/>
                <w:szCs w:val="28"/>
                <w:rtl w:val="true"/>
              </w:rPr>
              <w:t>הערר</w:t>
            </w:r>
            <w:r>
              <w:rPr>
                <w:rFonts w:cs="Times New Roman"/>
                <w:sz w:val="28"/>
                <w:sz w:val="28"/>
                <w:szCs w:val="28"/>
                <w:rtl w:val="true"/>
              </w:rPr>
              <w:t xml:space="preserve"> </w:t>
            </w:r>
            <w:r>
              <w:rPr>
                <w:rFonts w:cs="Narkisim"/>
                <w:sz w:val="28"/>
                <w:sz w:val="28"/>
                <w:szCs w:val="28"/>
                <w:rtl w:val="true"/>
              </w:rPr>
              <w:t>לפיצויים</w:t>
            </w:r>
            <w:r>
              <w:rPr>
                <w:rFonts w:cs="Times New Roman"/>
                <w:sz w:val="28"/>
                <w:sz w:val="28"/>
                <w:szCs w:val="28"/>
                <w:rtl w:val="true"/>
              </w:rPr>
              <w:t xml:space="preserve"> </w:t>
            </w:r>
            <w:r>
              <w:rPr>
                <w:rFonts w:cs="Narkisim"/>
                <w:sz w:val="28"/>
                <w:sz w:val="28"/>
                <w:szCs w:val="28"/>
                <w:rtl w:val="true"/>
              </w:rPr>
              <w:t>והיטל</w:t>
            </w:r>
            <w:r>
              <w:rPr>
                <w:rFonts w:cs="Times New Roman"/>
                <w:sz w:val="28"/>
                <w:sz w:val="28"/>
                <w:szCs w:val="28"/>
                <w:rtl w:val="true"/>
              </w:rPr>
              <w:t xml:space="preserve"> </w:t>
            </w:r>
            <w:r>
              <w:rPr>
                <w:rFonts w:cs="Narkisim"/>
                <w:sz w:val="28"/>
                <w:sz w:val="28"/>
                <w:szCs w:val="28"/>
                <w:rtl w:val="true"/>
              </w:rPr>
              <w:t>השבחה</w:t>
            </w:r>
          </w:p>
          <w:p>
            <w:pPr>
              <w:pStyle w:val="Header"/>
              <w:ind w:end="0"/>
              <w:jc w:val="center"/>
              <w:rPr>
                <w:sz w:val="28"/>
                <w:szCs w:val="28"/>
              </w:rPr>
            </w:pPr>
            <w:r>
              <w:rPr>
                <w:rFonts w:cs="Narkisim"/>
                <w:sz w:val="28"/>
                <w:sz w:val="28"/>
                <w:szCs w:val="28"/>
                <w:rtl w:val="true"/>
              </w:rPr>
              <w:t>מחוז</w:t>
            </w:r>
            <w:r>
              <w:rPr>
                <w:rFonts w:cs="Times New Roman"/>
                <w:sz w:val="28"/>
                <w:sz w:val="28"/>
                <w:szCs w:val="28"/>
                <w:rtl w:val="true"/>
              </w:rPr>
              <w:t xml:space="preserve"> </w:t>
            </w:r>
            <w:r>
              <w:rPr>
                <w:rFonts w:cs="Narkisim"/>
                <w:sz w:val="28"/>
                <w:sz w:val="28"/>
                <w:szCs w:val="28"/>
                <w:rtl w:val="true"/>
              </w:rPr>
              <w:t>מרכז</w:t>
            </w:r>
          </w:p>
        </w:tc>
        <w:tc>
          <w:tcPr>
            <w:tcW w:w="4149" w:type="dxa"/>
            <w:tcBorders/>
          </w:tcPr>
          <w:p>
            <w:pPr>
              <w:pStyle w:val="Header"/>
              <w:ind w:end="0"/>
              <w:jc w:val="end"/>
              <w:rPr>
                <w:sz w:val="26"/>
                <w:szCs w:val="26"/>
              </w:rPr>
            </w:pPr>
            <w:r>
              <w:rPr>
                <w:sz w:val="26"/>
                <w:sz w:val="26"/>
                <w:szCs w:val="26"/>
                <w:rtl w:val="true"/>
              </w:rPr>
              <w:t>ערר</w:t>
            </w:r>
            <w:r>
              <w:rPr>
                <w:rFonts w:cs="Times New Roman"/>
                <w:sz w:val="26"/>
                <w:sz w:val="26"/>
                <w:szCs w:val="26"/>
                <w:rtl w:val="true"/>
              </w:rPr>
              <w:t xml:space="preserve"> </w:t>
            </w:r>
            <w:r>
              <w:rPr>
                <w:sz w:val="26"/>
                <w:sz w:val="26"/>
                <w:szCs w:val="26"/>
                <w:rtl w:val="true"/>
              </w:rPr>
              <w:t>נת</w:t>
            </w:r>
            <w:r>
              <w:rPr>
                <w:sz w:val="26"/>
                <w:szCs w:val="26"/>
                <w:rtl w:val="true"/>
              </w:rPr>
              <w:t>/</w:t>
            </w:r>
            <w:r>
              <w:rPr>
                <w:sz w:val="26"/>
                <w:szCs w:val="26"/>
              </w:rPr>
              <w:t>8059-8064/0925</w:t>
            </w:r>
          </w:p>
          <w:p>
            <w:pPr>
              <w:pStyle w:val="Header"/>
              <w:ind w:end="0"/>
              <w:jc w:val="end"/>
              <w:rPr>
                <w:sz w:val="26"/>
                <w:szCs w:val="26"/>
              </w:rPr>
            </w:pPr>
            <w:r>
              <w:rPr>
                <w:sz w:val="26"/>
                <w:sz w:val="26"/>
                <w:szCs w:val="26"/>
                <w:rtl w:val="true"/>
              </w:rPr>
              <w:t>נת</w:t>
            </w:r>
            <w:r>
              <w:rPr>
                <w:sz w:val="26"/>
                <w:szCs w:val="26"/>
                <w:rtl w:val="true"/>
              </w:rPr>
              <w:t>/</w:t>
            </w:r>
            <w:r>
              <w:rPr>
                <w:sz w:val="26"/>
                <w:szCs w:val="26"/>
              </w:rPr>
              <w:t>8069-8074/0925</w:t>
            </w:r>
          </w:p>
        </w:tc>
      </w:tr>
    </w:tbl>
    <w:p>
      <w:pPr>
        <w:pStyle w:val="Header"/>
        <w:ind w:end="0"/>
        <w:jc w:val="center"/>
        <w:rPr/>
      </w:pPr>
      <w:r>
        <w:rPr>
          <w:rtl w:val="true"/>
        </w:rPr>
      </w:r>
    </w:p>
    <w:p>
      <w:pPr>
        <w:pStyle w:val="Normal"/>
        <w:suppressLineNumbers/>
        <w:ind w:end="0"/>
        <w:jc w:val="start"/>
        <w:rPr>
          <w:rFonts w:ascii="David" w:hAnsi="David" w:cs="David"/>
        </w:rPr>
      </w:pPr>
      <w:r>
        <w:rPr>
          <w:rFonts w:cs="David" w:ascii="David" w:hAnsi="David"/>
          <w:rtl w:val="true"/>
        </w:rPr>
      </w:r>
    </w:p>
    <w:tbl>
      <w:tblPr>
        <w:bidiVisual w:val="true"/>
        <w:tblW w:w="8795" w:type="dxa"/>
        <w:jc w:val="center"/>
        <w:tblInd w:w="0" w:type="dxa"/>
        <w:tblLayout w:type="fixed"/>
        <w:tblCellMar>
          <w:top w:w="0" w:type="dxa"/>
          <w:start w:w="108" w:type="dxa"/>
          <w:bottom w:w="0" w:type="dxa"/>
          <w:end w:w="108" w:type="dxa"/>
        </w:tblCellMar>
      </w:tblPr>
      <w:tblGrid>
        <w:gridCol w:w="3516"/>
        <w:gridCol w:w="5272"/>
        <w:gridCol w:w="7"/>
      </w:tblGrid>
      <w:tr>
        <w:trPr/>
        <w:tc>
          <w:tcPr>
            <w:tcW w:w="3516" w:type="dxa"/>
            <w:tcBorders/>
          </w:tcPr>
          <w:p>
            <w:pPr>
              <w:pStyle w:val="Normal"/>
              <w:suppressLineNumbers/>
              <w:spacing w:lineRule="auto" w:line="360"/>
              <w:ind w:end="-295"/>
              <w:jc w:val="start"/>
              <w:rPr>
                <w:rFonts w:ascii="David" w:hAnsi="David" w:cs="David"/>
                <w:sz w:val="28"/>
                <w:szCs w:val="28"/>
              </w:rPr>
            </w:pPr>
            <w:r>
              <w:rPr>
                <w:rFonts w:ascii="David" w:hAnsi="David"/>
                <w:sz w:val="28"/>
                <w:sz w:val="28"/>
                <w:szCs w:val="28"/>
                <w:rtl w:val="true"/>
              </w:rPr>
              <w:t>לפני</w:t>
            </w:r>
            <w:r>
              <w:rPr>
                <w:rFonts w:cs="David" w:ascii="David" w:hAnsi="David"/>
                <w:sz w:val="28"/>
                <w:szCs w:val="28"/>
                <w:rtl w:val="true"/>
              </w:rPr>
              <w:t>:</w:t>
            </w:r>
          </w:p>
        </w:tc>
        <w:tc>
          <w:tcPr>
            <w:tcW w:w="5279" w:type="dxa"/>
            <w:tcBorders/>
            <w:vAlign w:val="bottom"/>
          </w:tcPr>
          <w:p>
            <w:pPr>
              <w:pStyle w:val="Normal"/>
              <w:suppressLineNumbers/>
              <w:spacing w:lineRule="auto" w:line="360"/>
              <w:ind w:end="0"/>
              <w:jc w:val="start"/>
              <w:rPr>
                <w:rFonts w:ascii="David" w:hAnsi="David" w:cs="David"/>
                <w:sz w:val="28"/>
                <w:szCs w:val="28"/>
              </w:rPr>
            </w:pPr>
            <w:r>
              <w:rPr>
                <w:rFonts w:ascii="David" w:hAnsi="David"/>
                <w:sz w:val="28"/>
                <w:sz w:val="28"/>
                <w:szCs w:val="28"/>
                <w:rtl w:val="true"/>
              </w:rPr>
              <w:t>מר דביר סגלוביץ</w:t>
            </w:r>
            <w:r>
              <w:rPr>
                <w:rFonts w:cs="David" w:ascii="David" w:hAnsi="David"/>
                <w:sz w:val="28"/>
                <w:szCs w:val="28"/>
                <w:rtl w:val="true"/>
              </w:rPr>
              <w:t xml:space="preserve">', </w:t>
            </w:r>
            <w:r>
              <w:rPr>
                <w:rFonts w:ascii="David" w:hAnsi="David"/>
                <w:sz w:val="28"/>
                <w:sz w:val="28"/>
                <w:szCs w:val="28"/>
                <w:rtl w:val="true"/>
              </w:rPr>
              <w:t>עו</w:t>
            </w:r>
            <w:r>
              <w:rPr>
                <w:rFonts w:cs="David" w:ascii="David" w:hAnsi="David"/>
                <w:sz w:val="28"/>
                <w:szCs w:val="28"/>
                <w:rtl w:val="true"/>
              </w:rPr>
              <w:t>"</w:t>
            </w:r>
            <w:r>
              <w:rPr>
                <w:rFonts w:ascii="David" w:hAnsi="David"/>
                <w:sz w:val="28"/>
                <w:sz w:val="28"/>
                <w:szCs w:val="28"/>
                <w:rtl w:val="true"/>
              </w:rPr>
              <w:t xml:space="preserve">ד </w:t>
            </w:r>
            <w:r>
              <w:rPr>
                <w:rFonts w:cs="David" w:ascii="David" w:hAnsi="David"/>
                <w:sz w:val="28"/>
                <w:szCs w:val="28"/>
                <w:rtl w:val="true"/>
              </w:rPr>
              <w:t>(</w:t>
            </w:r>
            <w:r>
              <w:rPr>
                <w:rFonts w:ascii="David" w:hAnsi="David"/>
                <w:sz w:val="28"/>
                <w:sz w:val="28"/>
                <w:szCs w:val="28"/>
                <w:rtl w:val="true"/>
              </w:rPr>
              <w:t>יו</w:t>
            </w:r>
            <w:r>
              <w:rPr>
                <w:rFonts w:cs="David" w:ascii="David" w:hAnsi="David"/>
                <w:sz w:val="28"/>
                <w:szCs w:val="28"/>
                <w:rtl w:val="true"/>
              </w:rPr>
              <w:t>"</w:t>
            </w:r>
            <w:r>
              <w:rPr>
                <w:rFonts w:ascii="David" w:hAnsi="David"/>
                <w:sz w:val="28"/>
                <w:sz w:val="28"/>
                <w:szCs w:val="28"/>
                <w:rtl w:val="true"/>
              </w:rPr>
              <w:t>ר</w:t>
            </w:r>
            <w:r>
              <w:rPr>
                <w:rFonts w:cs="David" w:ascii="David" w:hAnsi="David"/>
                <w:sz w:val="28"/>
                <w:szCs w:val="28"/>
                <w:rtl w:val="true"/>
              </w:rPr>
              <w:t>)</w:t>
            </w:r>
          </w:p>
          <w:p>
            <w:pPr>
              <w:pStyle w:val="Normal"/>
              <w:suppressLineNumbers/>
              <w:spacing w:lineRule="auto" w:line="360"/>
              <w:ind w:end="0"/>
              <w:jc w:val="start"/>
              <w:rPr>
                <w:rFonts w:ascii="David" w:hAnsi="David" w:cs="David"/>
                <w:sz w:val="28"/>
                <w:szCs w:val="28"/>
              </w:rPr>
            </w:pPr>
            <w:r>
              <w:rPr>
                <w:rFonts w:ascii="David" w:hAnsi="David"/>
                <w:sz w:val="28"/>
                <w:sz w:val="28"/>
                <w:szCs w:val="28"/>
                <w:rtl w:val="true"/>
              </w:rPr>
              <w:t>גב</w:t>
            </w:r>
            <w:r>
              <w:rPr>
                <w:rFonts w:cs="David" w:ascii="David" w:hAnsi="David"/>
                <w:sz w:val="28"/>
                <w:szCs w:val="28"/>
                <w:rtl w:val="true"/>
              </w:rPr>
              <w:t xml:space="preserve">' </w:t>
            </w:r>
            <w:r>
              <w:rPr>
                <w:rFonts w:ascii="David" w:hAnsi="David"/>
                <w:sz w:val="28"/>
                <w:sz w:val="28"/>
                <w:szCs w:val="28"/>
                <w:rtl w:val="true"/>
              </w:rPr>
              <w:t>נאוה סירקיס</w:t>
            </w:r>
            <w:r>
              <w:rPr>
                <w:rFonts w:cs="David" w:ascii="David" w:hAnsi="David"/>
                <w:sz w:val="28"/>
                <w:szCs w:val="28"/>
                <w:rtl w:val="true"/>
              </w:rPr>
              <w:t xml:space="preserve">, </w:t>
            </w:r>
            <w:r>
              <w:rPr>
                <w:rFonts w:ascii="David" w:hAnsi="David"/>
                <w:sz w:val="28"/>
                <w:sz w:val="28"/>
                <w:szCs w:val="28"/>
                <w:rtl w:val="true"/>
              </w:rPr>
              <w:t>שמאית מקרקעין</w:t>
            </w:r>
          </w:p>
          <w:p>
            <w:pPr>
              <w:pStyle w:val="Normal"/>
              <w:suppressLineNumbers/>
              <w:spacing w:lineRule="auto" w:line="360"/>
              <w:ind w:end="0"/>
              <w:jc w:val="start"/>
              <w:rPr>
                <w:rFonts w:ascii="David" w:hAnsi="David" w:cs="David"/>
                <w:sz w:val="28"/>
                <w:szCs w:val="28"/>
              </w:rPr>
            </w:pPr>
            <w:r>
              <w:rPr>
                <w:rFonts w:ascii="David" w:hAnsi="David"/>
                <w:sz w:val="28"/>
                <w:sz w:val="28"/>
                <w:szCs w:val="28"/>
                <w:rtl w:val="true"/>
              </w:rPr>
              <w:t>גב</w:t>
            </w:r>
            <w:r>
              <w:rPr>
                <w:rFonts w:cs="David" w:ascii="David" w:hAnsi="David"/>
                <w:sz w:val="28"/>
                <w:szCs w:val="28"/>
                <w:rtl w:val="true"/>
              </w:rPr>
              <w:t xml:space="preserve">' </w:t>
            </w:r>
            <w:r>
              <w:rPr>
                <w:rFonts w:ascii="David" w:hAnsi="David"/>
                <w:sz w:val="28"/>
                <w:sz w:val="28"/>
                <w:szCs w:val="28"/>
                <w:rtl w:val="true"/>
              </w:rPr>
              <w:t xml:space="preserve">שפרה פרנקל </w:t>
            </w:r>
            <w:r>
              <w:rPr>
                <w:rFonts w:cs="David" w:ascii="David" w:hAnsi="David"/>
                <w:sz w:val="28"/>
                <w:szCs w:val="28"/>
                <w:rtl w:val="true"/>
              </w:rPr>
              <w:t>(</w:t>
            </w:r>
            <w:r>
              <w:rPr>
                <w:rFonts w:ascii="David" w:hAnsi="David"/>
                <w:sz w:val="28"/>
                <w:sz w:val="28"/>
                <w:szCs w:val="28"/>
                <w:rtl w:val="true"/>
              </w:rPr>
              <w:t>נציגת מתכננת המחוז</w:t>
            </w:r>
            <w:r>
              <w:rPr>
                <w:rFonts w:cs="David" w:ascii="David" w:hAnsi="David"/>
                <w:sz w:val="28"/>
                <w:szCs w:val="28"/>
                <w:rtl w:val="true"/>
              </w:rPr>
              <w:t>)</w:t>
            </w:r>
          </w:p>
        </w:tc>
      </w:tr>
      <w:tr>
        <w:trPr/>
        <w:tc>
          <w:tcPr>
            <w:tcW w:w="3516" w:type="dxa"/>
            <w:tcBorders/>
            <w:vAlign w:val="bottom"/>
          </w:tcPr>
          <w:p>
            <w:pPr>
              <w:pStyle w:val="Normal"/>
              <w:suppressLineNumbers/>
              <w:snapToGrid w:val="false"/>
              <w:spacing w:lineRule="auto" w:line="360"/>
              <w:ind w:end="0"/>
              <w:jc w:val="start"/>
              <w:rPr>
                <w:rFonts w:ascii="David" w:hAnsi="David" w:cs="David"/>
                <w:sz w:val="28"/>
                <w:szCs w:val="28"/>
              </w:rPr>
            </w:pPr>
            <w:r>
              <w:rPr>
                <w:rFonts w:cs="David" w:ascii="David" w:hAnsi="David"/>
                <w:sz w:val="28"/>
                <w:szCs w:val="28"/>
                <w:rtl w:val="true"/>
              </w:rPr>
            </w:r>
          </w:p>
        </w:tc>
        <w:tc>
          <w:tcPr>
            <w:tcW w:w="5272" w:type="dxa"/>
            <w:tcBorders/>
            <w:vAlign w:val="bottom"/>
          </w:tcPr>
          <w:p>
            <w:pPr>
              <w:pStyle w:val="Normal"/>
              <w:suppressLineNumbers/>
              <w:snapToGrid w:val="false"/>
              <w:spacing w:lineRule="auto" w:line="360"/>
              <w:ind w:end="0"/>
              <w:jc w:val="start"/>
              <w:rPr>
                <w:rFonts w:ascii="David" w:hAnsi="David" w:cs="David"/>
                <w:sz w:val="28"/>
                <w:szCs w:val="28"/>
              </w:rPr>
            </w:pPr>
            <w:r>
              <w:rPr>
                <w:rFonts w:cs="David" w:ascii="David" w:hAnsi="David"/>
                <w:sz w:val="28"/>
                <w:szCs w:val="28"/>
                <w:rtl w:val="true"/>
              </w:rPr>
            </w:r>
          </w:p>
        </w:tc>
      </w:tr>
      <w:tr>
        <w:trPr/>
        <w:tc>
          <w:tcPr>
            <w:tcW w:w="3516" w:type="dxa"/>
            <w:tcBorders/>
          </w:tcPr>
          <w:p>
            <w:pPr>
              <w:pStyle w:val="Normal"/>
              <w:suppressLineNumbers/>
              <w:spacing w:lineRule="auto" w:line="360"/>
              <w:ind w:end="0"/>
              <w:jc w:val="start"/>
              <w:rPr>
                <w:rFonts w:ascii="David" w:hAnsi="David" w:cs="David"/>
                <w:sz w:val="28"/>
                <w:szCs w:val="28"/>
              </w:rPr>
            </w:pPr>
            <w:bookmarkStart w:id="0" w:name="FirstAppellant"/>
            <w:bookmarkEnd w:id="0"/>
            <w:r>
              <w:rPr>
                <w:rFonts w:ascii="David" w:hAnsi="David"/>
                <w:sz w:val="28"/>
                <w:sz w:val="28"/>
                <w:szCs w:val="28"/>
                <w:rtl w:val="true"/>
              </w:rPr>
              <w:t xml:space="preserve">העוררים בערר </w:t>
            </w:r>
            <w:r>
              <w:rPr>
                <w:rFonts w:cs="David" w:ascii="David" w:hAnsi="David"/>
                <w:sz w:val="28"/>
                <w:szCs w:val="28"/>
              </w:rPr>
              <w:t>8069-74/25</w:t>
            </w:r>
            <w:r>
              <w:rPr>
                <w:rFonts w:cs="David" w:ascii="David" w:hAnsi="David"/>
                <w:sz w:val="28"/>
                <w:szCs w:val="28"/>
                <w:rtl w:val="true"/>
              </w:rPr>
              <w:t>:</w:t>
            </w:r>
          </w:p>
        </w:tc>
        <w:tc>
          <w:tcPr>
            <w:tcW w:w="5272" w:type="dxa"/>
            <w:tcBorders/>
            <w:vAlign w:val="bottom"/>
          </w:tcPr>
          <w:p>
            <w:pPr>
              <w:pStyle w:val="Normal"/>
              <w:suppressLineNumbers/>
              <w:spacing w:lineRule="auto" w:line="360"/>
              <w:ind w:end="0"/>
              <w:jc w:val="start"/>
              <w:rPr>
                <w:rFonts w:ascii="David" w:hAnsi="David" w:cs="David"/>
                <w:sz w:val="28"/>
                <w:szCs w:val="28"/>
              </w:rPr>
            </w:pPr>
            <w:r>
              <w:rPr>
                <w:sz w:val="28"/>
                <w:sz w:val="28"/>
                <w:szCs w:val="28"/>
                <w:rtl w:val="true"/>
              </w:rPr>
              <w:t>י</w:t>
            </w:r>
            <w:r>
              <w:rPr>
                <w:sz w:val="28"/>
                <w:szCs w:val="28"/>
                <w:rtl w:val="true"/>
              </w:rPr>
              <w:t>.</w:t>
            </w:r>
            <w:r>
              <w:rPr>
                <w:sz w:val="28"/>
                <w:sz w:val="28"/>
                <w:szCs w:val="28"/>
                <w:rtl w:val="true"/>
              </w:rPr>
              <w:t>ח</w:t>
            </w:r>
            <w:r>
              <w:rPr>
                <w:sz w:val="28"/>
                <w:szCs w:val="28"/>
                <w:rtl w:val="true"/>
              </w:rPr>
              <w:t xml:space="preserve">. </w:t>
            </w:r>
            <w:r>
              <w:rPr>
                <w:sz w:val="28"/>
                <w:sz w:val="28"/>
                <w:szCs w:val="28"/>
                <w:rtl w:val="true"/>
              </w:rPr>
              <w:t>דמרי</w:t>
            </w:r>
            <w:r>
              <w:rPr>
                <w:rFonts w:cs="Times New Roman"/>
                <w:sz w:val="28"/>
                <w:sz w:val="28"/>
                <w:szCs w:val="28"/>
                <w:rtl w:val="true"/>
              </w:rPr>
              <w:t xml:space="preserve"> </w:t>
            </w:r>
            <w:r>
              <w:rPr>
                <w:sz w:val="28"/>
                <w:sz w:val="28"/>
                <w:szCs w:val="28"/>
                <w:rtl w:val="true"/>
              </w:rPr>
              <w:t>בניה</w:t>
            </w:r>
            <w:r>
              <w:rPr>
                <w:rFonts w:cs="Times New Roman"/>
                <w:sz w:val="28"/>
                <w:sz w:val="28"/>
                <w:szCs w:val="28"/>
                <w:rtl w:val="true"/>
              </w:rPr>
              <w:t xml:space="preserve"> </w:t>
            </w:r>
            <w:r>
              <w:rPr>
                <w:sz w:val="28"/>
                <w:sz w:val="28"/>
                <w:szCs w:val="28"/>
                <w:rtl w:val="true"/>
              </w:rPr>
              <w:t>ופיתוח</w:t>
            </w:r>
            <w:r>
              <w:rPr>
                <w:rFonts w:cs="Times New Roman"/>
                <w:sz w:val="28"/>
                <w:sz w:val="28"/>
                <w:szCs w:val="28"/>
                <w:rtl w:val="true"/>
              </w:rPr>
              <w:t xml:space="preserve"> </w:t>
            </w:r>
            <w:r>
              <w:rPr>
                <w:sz w:val="28"/>
                <w:sz w:val="28"/>
                <w:szCs w:val="28"/>
                <w:rtl w:val="true"/>
              </w:rPr>
              <w:t>בע</w:t>
            </w:r>
            <w:r>
              <w:rPr>
                <w:sz w:val="28"/>
                <w:szCs w:val="28"/>
                <w:rtl w:val="true"/>
              </w:rPr>
              <w:t>"</w:t>
            </w:r>
            <w:r>
              <w:rPr>
                <w:sz w:val="28"/>
                <w:sz w:val="28"/>
                <w:szCs w:val="28"/>
                <w:rtl w:val="true"/>
              </w:rPr>
              <w:t>מ</w:t>
            </w:r>
            <w:r>
              <w:rPr>
                <w:rFonts w:cs="Times New Roman"/>
                <w:sz w:val="28"/>
                <w:sz w:val="28"/>
                <w:szCs w:val="28"/>
                <w:rtl w:val="true"/>
              </w:rPr>
              <w:t xml:space="preserve"> </w:t>
            </w:r>
            <w:r>
              <w:rPr>
                <w:sz w:val="28"/>
                <w:sz w:val="28"/>
                <w:szCs w:val="28"/>
                <w:rtl w:val="true"/>
              </w:rPr>
              <w:t>ואח</w:t>
            </w:r>
            <w:r>
              <w:rPr>
                <w:sz w:val="28"/>
                <w:szCs w:val="28"/>
                <w:rtl w:val="true"/>
              </w:rPr>
              <w:t>'</w:t>
            </w:r>
          </w:p>
        </w:tc>
      </w:tr>
      <w:tr>
        <w:trPr/>
        <w:tc>
          <w:tcPr>
            <w:tcW w:w="3516" w:type="dxa"/>
            <w:tcBorders/>
            <w:vAlign w:val="bottom"/>
          </w:tcPr>
          <w:p>
            <w:pPr>
              <w:pStyle w:val="Normal"/>
              <w:suppressLineNumbers/>
              <w:tabs>
                <w:tab w:val="clear" w:pos="720"/>
                <w:tab w:val="right" w:pos="3051" w:leader="none"/>
              </w:tabs>
              <w:snapToGrid w:val="false"/>
              <w:spacing w:lineRule="auto" w:line="360"/>
              <w:ind w:end="0"/>
              <w:jc w:val="start"/>
              <w:rPr>
                <w:rFonts w:ascii="David" w:hAnsi="David" w:cs="David"/>
                <w:sz w:val="28"/>
                <w:szCs w:val="28"/>
              </w:rPr>
            </w:pPr>
            <w:r>
              <w:rPr>
                <w:rFonts w:cs="David" w:ascii="David" w:hAnsi="David"/>
                <w:sz w:val="28"/>
                <w:szCs w:val="28"/>
                <w:rtl w:val="true"/>
              </w:rPr>
            </w:r>
          </w:p>
        </w:tc>
        <w:tc>
          <w:tcPr>
            <w:tcW w:w="5272" w:type="dxa"/>
            <w:tcBorders/>
            <w:vAlign w:val="bottom"/>
          </w:tcPr>
          <w:p>
            <w:pPr>
              <w:pStyle w:val="Normal"/>
              <w:suppressLineNumbers/>
              <w:snapToGrid w:val="false"/>
              <w:spacing w:lineRule="auto" w:line="360"/>
              <w:ind w:end="0"/>
              <w:jc w:val="start"/>
              <w:rPr>
                <w:rFonts w:ascii="David" w:hAnsi="David" w:cs="David"/>
                <w:sz w:val="28"/>
                <w:szCs w:val="28"/>
              </w:rPr>
            </w:pPr>
            <w:r>
              <w:rPr>
                <w:rFonts w:cs="David" w:ascii="David" w:hAnsi="David"/>
                <w:sz w:val="28"/>
                <w:szCs w:val="28"/>
                <w:rtl w:val="true"/>
              </w:rPr>
            </w:r>
          </w:p>
        </w:tc>
      </w:tr>
      <w:tr>
        <w:trPr/>
        <w:tc>
          <w:tcPr>
            <w:tcW w:w="3516" w:type="dxa"/>
            <w:tcBorders/>
            <w:vAlign w:val="bottom"/>
          </w:tcPr>
          <w:p>
            <w:pPr>
              <w:pStyle w:val="Normal"/>
              <w:suppressLineNumbers/>
              <w:tabs>
                <w:tab w:val="clear" w:pos="720"/>
                <w:tab w:val="right" w:pos="3051" w:leader="none"/>
              </w:tabs>
              <w:spacing w:lineRule="auto" w:line="360"/>
              <w:ind w:end="0"/>
              <w:jc w:val="start"/>
              <w:rPr>
                <w:rFonts w:ascii="David" w:hAnsi="David" w:cs="David"/>
                <w:sz w:val="28"/>
                <w:szCs w:val="28"/>
              </w:rPr>
            </w:pPr>
            <w:r>
              <w:rPr>
                <w:rFonts w:ascii="David" w:hAnsi="David"/>
                <w:sz w:val="28"/>
                <w:sz w:val="28"/>
                <w:szCs w:val="28"/>
                <w:rtl w:val="true"/>
              </w:rPr>
              <w:t>ה</w:t>
            </w:r>
            <w:r>
              <w:rPr>
                <w:sz w:val="28"/>
                <w:sz w:val="28"/>
                <w:szCs w:val="28"/>
                <w:rtl w:val="true"/>
              </w:rPr>
              <w:t>עוררת</w:t>
            </w:r>
            <w:r>
              <w:rPr>
                <w:rFonts w:cs="Times New Roman"/>
                <w:sz w:val="28"/>
                <w:sz w:val="28"/>
                <w:szCs w:val="28"/>
                <w:rtl w:val="true"/>
              </w:rPr>
              <w:t xml:space="preserve"> </w:t>
            </w:r>
            <w:r>
              <w:rPr>
                <w:sz w:val="28"/>
                <w:sz w:val="28"/>
                <w:szCs w:val="28"/>
                <w:rtl w:val="true"/>
              </w:rPr>
              <w:t>בערר</w:t>
            </w:r>
            <w:r>
              <w:rPr>
                <w:rFonts w:cs="Times New Roman"/>
                <w:sz w:val="28"/>
                <w:sz w:val="28"/>
                <w:szCs w:val="28"/>
                <w:rtl w:val="true"/>
              </w:rPr>
              <w:t xml:space="preserve"> </w:t>
            </w:r>
            <w:r>
              <w:rPr>
                <w:sz w:val="28"/>
                <w:szCs w:val="28"/>
              </w:rPr>
              <w:t>8059-64/25</w:t>
            </w:r>
            <w:r>
              <w:rPr>
                <w:sz w:val="28"/>
                <w:szCs w:val="28"/>
                <w:rtl w:val="true"/>
              </w:rPr>
              <w:t>:</w:t>
            </w:r>
          </w:p>
        </w:tc>
        <w:tc>
          <w:tcPr>
            <w:tcW w:w="5272" w:type="dxa"/>
            <w:tcBorders/>
            <w:vAlign w:val="bottom"/>
          </w:tcPr>
          <w:p>
            <w:pPr>
              <w:pStyle w:val="Normal"/>
              <w:suppressLineNumbers/>
              <w:spacing w:lineRule="auto" w:line="360"/>
              <w:ind w:end="0"/>
              <w:jc w:val="start"/>
              <w:rPr>
                <w:sz w:val="28"/>
                <w:szCs w:val="28"/>
              </w:rPr>
            </w:pPr>
            <w:r>
              <w:rPr>
                <w:sz w:val="28"/>
                <w:sz w:val="28"/>
                <w:szCs w:val="28"/>
                <w:rtl w:val="true"/>
              </w:rPr>
              <w:t>הוועדה</w:t>
            </w:r>
            <w:r>
              <w:rPr>
                <w:rFonts w:cs="Times New Roman"/>
                <w:sz w:val="28"/>
                <w:sz w:val="28"/>
                <w:szCs w:val="28"/>
                <w:rtl w:val="true"/>
              </w:rPr>
              <w:t xml:space="preserve"> </w:t>
            </w:r>
            <w:r>
              <w:rPr>
                <w:sz w:val="28"/>
                <w:sz w:val="28"/>
                <w:szCs w:val="28"/>
                <w:rtl w:val="true"/>
              </w:rPr>
              <w:t>המקומית</w:t>
            </w:r>
            <w:r>
              <w:rPr>
                <w:rFonts w:cs="Times New Roman"/>
                <w:sz w:val="28"/>
                <w:sz w:val="28"/>
                <w:szCs w:val="28"/>
                <w:rtl w:val="true"/>
              </w:rPr>
              <w:t xml:space="preserve"> </w:t>
            </w:r>
            <w:r>
              <w:rPr>
                <w:sz w:val="28"/>
                <w:sz w:val="28"/>
                <w:szCs w:val="28"/>
                <w:rtl w:val="true"/>
              </w:rPr>
              <w:t>לתכנון</w:t>
            </w:r>
            <w:r>
              <w:rPr>
                <w:rFonts w:cs="Times New Roman"/>
                <w:sz w:val="28"/>
                <w:sz w:val="28"/>
                <w:szCs w:val="28"/>
                <w:rtl w:val="true"/>
              </w:rPr>
              <w:t xml:space="preserve"> </w:t>
            </w:r>
            <w:r>
              <w:rPr>
                <w:sz w:val="28"/>
                <w:sz w:val="28"/>
                <w:szCs w:val="28"/>
                <w:rtl w:val="true"/>
              </w:rPr>
              <w:t>ובנייה</w:t>
            </w:r>
            <w:r>
              <w:rPr>
                <w:rFonts w:cs="Times New Roman"/>
                <w:sz w:val="28"/>
                <w:sz w:val="28"/>
                <w:szCs w:val="28"/>
                <w:rtl w:val="true"/>
              </w:rPr>
              <w:t xml:space="preserve"> </w:t>
            </w:r>
            <w:r>
              <w:rPr>
                <w:sz w:val="28"/>
                <w:sz w:val="28"/>
                <w:szCs w:val="28"/>
                <w:rtl w:val="true"/>
              </w:rPr>
              <w:t>נתניה</w:t>
            </w:r>
          </w:p>
        </w:tc>
      </w:tr>
      <w:tr>
        <w:trPr/>
        <w:tc>
          <w:tcPr>
            <w:tcW w:w="3516" w:type="dxa"/>
            <w:tcBorders/>
            <w:vAlign w:val="bottom"/>
          </w:tcPr>
          <w:p>
            <w:pPr>
              <w:pStyle w:val="Normal"/>
              <w:suppressLineNumbers/>
              <w:tabs>
                <w:tab w:val="clear" w:pos="720"/>
                <w:tab w:val="right" w:pos="3051" w:leader="none"/>
              </w:tabs>
              <w:snapToGrid w:val="false"/>
              <w:spacing w:lineRule="auto" w:line="360"/>
              <w:ind w:end="0"/>
              <w:jc w:val="start"/>
              <w:rPr>
                <w:rFonts w:ascii="David" w:hAnsi="David" w:cs="David"/>
                <w:sz w:val="28"/>
                <w:szCs w:val="28"/>
              </w:rPr>
            </w:pPr>
            <w:r>
              <w:rPr>
                <w:rFonts w:cs="David" w:ascii="David" w:hAnsi="David"/>
                <w:sz w:val="28"/>
                <w:szCs w:val="28"/>
                <w:rtl w:val="true"/>
              </w:rPr>
            </w:r>
          </w:p>
        </w:tc>
        <w:tc>
          <w:tcPr>
            <w:tcW w:w="5272" w:type="dxa"/>
            <w:tcBorders/>
            <w:vAlign w:val="bottom"/>
          </w:tcPr>
          <w:p>
            <w:pPr>
              <w:pStyle w:val="Normal"/>
              <w:suppressLineNumbers/>
              <w:snapToGrid w:val="false"/>
              <w:spacing w:lineRule="auto" w:line="360"/>
              <w:ind w:end="0"/>
              <w:jc w:val="start"/>
              <w:rPr>
                <w:rFonts w:ascii="David" w:hAnsi="David" w:cs="David"/>
                <w:spacing w:val="40"/>
                <w:sz w:val="28"/>
                <w:szCs w:val="28"/>
              </w:rPr>
            </w:pPr>
            <w:r>
              <w:rPr>
                <w:rFonts w:cs="David" w:ascii="David" w:hAnsi="David"/>
                <w:spacing w:val="40"/>
                <w:sz w:val="28"/>
                <w:szCs w:val="28"/>
                <w:rtl w:val="true"/>
              </w:rPr>
            </w:r>
          </w:p>
        </w:tc>
      </w:tr>
      <w:tr>
        <w:trPr/>
        <w:tc>
          <w:tcPr>
            <w:tcW w:w="3516" w:type="dxa"/>
            <w:tcBorders/>
            <w:vAlign w:val="bottom"/>
          </w:tcPr>
          <w:p>
            <w:pPr>
              <w:pStyle w:val="Normal"/>
              <w:suppressLineNumbers/>
              <w:tabs>
                <w:tab w:val="clear" w:pos="720"/>
                <w:tab w:val="right" w:pos="3051" w:leader="none"/>
              </w:tabs>
              <w:snapToGrid w:val="false"/>
              <w:spacing w:lineRule="auto" w:line="360"/>
              <w:ind w:end="0"/>
              <w:jc w:val="start"/>
              <w:rPr>
                <w:rFonts w:ascii="David" w:hAnsi="David" w:cs="David"/>
                <w:spacing w:val="40"/>
                <w:sz w:val="28"/>
                <w:szCs w:val="28"/>
              </w:rPr>
            </w:pPr>
            <w:r>
              <w:rPr>
                <w:rFonts w:cs="David" w:ascii="David" w:hAnsi="David"/>
                <w:spacing w:val="40"/>
                <w:sz w:val="28"/>
                <w:szCs w:val="28"/>
                <w:rtl w:val="true"/>
              </w:rPr>
            </w:r>
          </w:p>
        </w:tc>
        <w:tc>
          <w:tcPr>
            <w:tcW w:w="5272" w:type="dxa"/>
            <w:tcBorders/>
            <w:vAlign w:val="bottom"/>
          </w:tcPr>
          <w:p>
            <w:pPr>
              <w:pStyle w:val="Normal"/>
              <w:suppressLineNumbers/>
              <w:spacing w:lineRule="auto" w:line="360"/>
              <w:ind w:end="0"/>
              <w:jc w:val="start"/>
              <w:rPr>
                <w:sz w:val="28"/>
                <w:szCs w:val="28"/>
              </w:rPr>
            </w:pPr>
            <w:r>
              <w:rPr>
                <w:rFonts w:ascii="David" w:hAnsi="David"/>
                <w:spacing w:val="40"/>
                <w:sz w:val="28"/>
                <w:sz w:val="28"/>
                <w:szCs w:val="28"/>
                <w:rtl w:val="true"/>
              </w:rPr>
              <w:t>נגד</w:t>
            </w:r>
          </w:p>
        </w:tc>
      </w:tr>
      <w:tr>
        <w:trPr/>
        <w:tc>
          <w:tcPr>
            <w:tcW w:w="8788" w:type="dxa"/>
            <w:gridSpan w:val="2"/>
            <w:tcBorders/>
            <w:vAlign w:val="bottom"/>
          </w:tcPr>
          <w:p>
            <w:pPr>
              <w:pStyle w:val="Normal"/>
              <w:suppressLineNumbers/>
              <w:snapToGrid w:val="false"/>
              <w:spacing w:lineRule="auto" w:line="360"/>
              <w:ind w:start="2880" w:end="0"/>
              <w:jc w:val="start"/>
              <w:rPr>
                <w:rFonts w:ascii="David" w:hAnsi="David" w:cs="David"/>
                <w:sz w:val="28"/>
                <w:szCs w:val="28"/>
              </w:rPr>
            </w:pPr>
            <w:r>
              <w:rPr>
                <w:rFonts w:cs="David" w:ascii="David" w:hAnsi="David"/>
                <w:sz w:val="28"/>
                <w:szCs w:val="28"/>
                <w:rtl w:val="true"/>
              </w:rPr>
            </w:r>
          </w:p>
        </w:tc>
      </w:tr>
      <w:tr>
        <w:trPr/>
        <w:tc>
          <w:tcPr>
            <w:tcW w:w="3516" w:type="dxa"/>
            <w:tcBorders/>
            <w:vAlign w:val="bottom"/>
          </w:tcPr>
          <w:p>
            <w:pPr>
              <w:pStyle w:val="Normal"/>
              <w:suppressLineNumbers/>
              <w:spacing w:lineRule="auto" w:line="360"/>
              <w:ind w:end="0"/>
              <w:jc w:val="start"/>
              <w:rPr>
                <w:rFonts w:ascii="David" w:hAnsi="David" w:cs="David"/>
                <w:sz w:val="28"/>
                <w:szCs w:val="28"/>
              </w:rPr>
            </w:pPr>
            <w:r>
              <w:rPr>
                <w:rFonts w:ascii="David" w:hAnsi="David"/>
                <w:sz w:val="28"/>
                <w:sz w:val="28"/>
                <w:szCs w:val="28"/>
                <w:rtl w:val="true"/>
              </w:rPr>
              <w:t xml:space="preserve">המשיבה בערר </w:t>
            </w:r>
            <w:r>
              <w:rPr>
                <w:rFonts w:cs="David" w:ascii="David" w:hAnsi="David"/>
                <w:sz w:val="28"/>
                <w:szCs w:val="28"/>
              </w:rPr>
              <w:t>8069-74/25</w:t>
            </w:r>
            <w:r>
              <w:rPr>
                <w:rFonts w:cs="David" w:ascii="David" w:hAnsi="David"/>
                <w:sz w:val="28"/>
                <w:szCs w:val="28"/>
                <w:rtl w:val="true"/>
              </w:rPr>
              <w:t>:</w:t>
            </w:r>
          </w:p>
        </w:tc>
        <w:tc>
          <w:tcPr>
            <w:tcW w:w="5272" w:type="dxa"/>
            <w:tcBorders/>
            <w:vAlign w:val="bottom"/>
          </w:tcPr>
          <w:p>
            <w:pPr>
              <w:pStyle w:val="Normal"/>
              <w:suppressLineNumbers/>
              <w:spacing w:lineRule="auto" w:line="360"/>
              <w:ind w:end="0"/>
              <w:jc w:val="start"/>
              <w:rPr>
                <w:rFonts w:ascii="David" w:hAnsi="David" w:cs="David"/>
                <w:sz w:val="28"/>
                <w:szCs w:val="28"/>
              </w:rPr>
            </w:pPr>
            <w:r>
              <w:rPr>
                <w:sz w:val="28"/>
                <w:sz w:val="28"/>
                <w:szCs w:val="28"/>
                <w:rtl w:val="true"/>
              </w:rPr>
              <w:t>הוועדה</w:t>
            </w:r>
            <w:r>
              <w:rPr>
                <w:rFonts w:cs="Times New Roman"/>
                <w:sz w:val="28"/>
                <w:sz w:val="28"/>
                <w:szCs w:val="28"/>
                <w:rtl w:val="true"/>
              </w:rPr>
              <w:t xml:space="preserve"> </w:t>
            </w:r>
            <w:r>
              <w:rPr>
                <w:sz w:val="28"/>
                <w:sz w:val="28"/>
                <w:szCs w:val="28"/>
                <w:rtl w:val="true"/>
              </w:rPr>
              <w:t>המקומית</w:t>
            </w:r>
            <w:r>
              <w:rPr>
                <w:rFonts w:cs="Times New Roman"/>
                <w:sz w:val="28"/>
                <w:sz w:val="28"/>
                <w:szCs w:val="28"/>
                <w:rtl w:val="true"/>
              </w:rPr>
              <w:t xml:space="preserve"> </w:t>
            </w:r>
            <w:r>
              <w:rPr>
                <w:sz w:val="28"/>
                <w:sz w:val="28"/>
                <w:szCs w:val="28"/>
                <w:rtl w:val="true"/>
              </w:rPr>
              <w:t>לתכנון</w:t>
            </w:r>
            <w:r>
              <w:rPr>
                <w:rFonts w:cs="Times New Roman"/>
                <w:sz w:val="28"/>
                <w:sz w:val="28"/>
                <w:szCs w:val="28"/>
                <w:rtl w:val="true"/>
              </w:rPr>
              <w:t xml:space="preserve"> </w:t>
            </w:r>
            <w:r>
              <w:rPr>
                <w:sz w:val="28"/>
                <w:sz w:val="28"/>
                <w:szCs w:val="28"/>
                <w:rtl w:val="true"/>
              </w:rPr>
              <w:t>ובנייה</w:t>
            </w:r>
            <w:r>
              <w:rPr>
                <w:rFonts w:cs="Times New Roman"/>
                <w:sz w:val="28"/>
                <w:sz w:val="28"/>
                <w:szCs w:val="28"/>
                <w:rtl w:val="true"/>
              </w:rPr>
              <w:t xml:space="preserve"> </w:t>
            </w:r>
            <w:r>
              <w:rPr>
                <w:sz w:val="28"/>
                <w:sz w:val="28"/>
                <w:szCs w:val="28"/>
                <w:rtl w:val="true"/>
              </w:rPr>
              <w:t>נתניה</w:t>
            </w:r>
          </w:p>
        </w:tc>
      </w:tr>
      <w:tr>
        <w:trPr/>
        <w:tc>
          <w:tcPr>
            <w:tcW w:w="3516" w:type="dxa"/>
            <w:tcBorders/>
          </w:tcPr>
          <w:p>
            <w:pPr>
              <w:pStyle w:val="Normal"/>
              <w:suppressLineNumbers/>
              <w:snapToGrid w:val="false"/>
              <w:spacing w:lineRule="auto" w:line="360"/>
              <w:ind w:end="0"/>
              <w:jc w:val="start"/>
              <w:rPr>
                <w:rFonts w:ascii="David" w:hAnsi="David" w:cs="David"/>
                <w:sz w:val="28"/>
                <w:szCs w:val="28"/>
              </w:rPr>
            </w:pPr>
            <w:r>
              <w:rPr>
                <w:rFonts w:cs="David" w:ascii="David" w:hAnsi="David"/>
                <w:sz w:val="28"/>
                <w:szCs w:val="28"/>
                <w:rtl w:val="true"/>
              </w:rPr>
            </w:r>
          </w:p>
        </w:tc>
        <w:tc>
          <w:tcPr>
            <w:tcW w:w="5272" w:type="dxa"/>
            <w:tcBorders/>
            <w:vAlign w:val="bottom"/>
          </w:tcPr>
          <w:p>
            <w:pPr>
              <w:pStyle w:val="Normal"/>
              <w:suppressLineNumbers/>
              <w:snapToGrid w:val="false"/>
              <w:spacing w:lineRule="auto" w:line="360"/>
              <w:ind w:end="0"/>
              <w:jc w:val="start"/>
              <w:rPr>
                <w:rFonts w:ascii="David" w:hAnsi="David" w:cs="David"/>
                <w:sz w:val="28"/>
                <w:szCs w:val="28"/>
              </w:rPr>
            </w:pPr>
            <w:r>
              <w:rPr>
                <w:rFonts w:cs="David" w:ascii="David" w:hAnsi="David"/>
                <w:sz w:val="28"/>
                <w:szCs w:val="28"/>
                <w:rtl w:val="true"/>
              </w:rPr>
            </w:r>
          </w:p>
        </w:tc>
      </w:tr>
      <w:tr>
        <w:trPr/>
        <w:tc>
          <w:tcPr>
            <w:tcW w:w="3516" w:type="dxa"/>
            <w:tcBorders/>
          </w:tcPr>
          <w:p>
            <w:pPr>
              <w:pStyle w:val="Normal"/>
              <w:suppressLineNumbers/>
              <w:spacing w:lineRule="auto" w:line="360"/>
              <w:ind w:end="0"/>
              <w:jc w:val="start"/>
              <w:rPr>
                <w:rFonts w:ascii="David" w:hAnsi="David" w:cs="David"/>
                <w:sz w:val="28"/>
                <w:szCs w:val="28"/>
              </w:rPr>
            </w:pPr>
            <w:r>
              <w:rPr>
                <w:rFonts w:ascii="David" w:hAnsi="David"/>
                <w:sz w:val="28"/>
                <w:sz w:val="28"/>
                <w:szCs w:val="28"/>
                <w:rtl w:val="true"/>
              </w:rPr>
              <w:t>ה</w:t>
            </w:r>
            <w:r>
              <w:rPr>
                <w:sz w:val="28"/>
                <w:sz w:val="28"/>
                <w:szCs w:val="28"/>
                <w:rtl w:val="true"/>
              </w:rPr>
              <w:t>משיבים</w:t>
            </w:r>
            <w:r>
              <w:rPr>
                <w:rFonts w:cs="Times New Roman"/>
                <w:sz w:val="28"/>
                <w:sz w:val="28"/>
                <w:szCs w:val="28"/>
                <w:rtl w:val="true"/>
              </w:rPr>
              <w:t xml:space="preserve"> </w:t>
            </w:r>
            <w:r>
              <w:rPr>
                <w:sz w:val="28"/>
                <w:sz w:val="28"/>
                <w:szCs w:val="28"/>
                <w:rtl w:val="true"/>
              </w:rPr>
              <w:t>בערר</w:t>
            </w:r>
            <w:r>
              <w:rPr>
                <w:rFonts w:cs="Times New Roman"/>
                <w:sz w:val="28"/>
                <w:sz w:val="28"/>
                <w:szCs w:val="28"/>
                <w:rtl w:val="true"/>
              </w:rPr>
              <w:t xml:space="preserve"> </w:t>
            </w:r>
            <w:r>
              <w:rPr>
                <w:sz w:val="28"/>
                <w:szCs w:val="28"/>
              </w:rPr>
              <w:t>8059-64/25</w:t>
            </w:r>
            <w:r>
              <w:rPr>
                <w:sz w:val="28"/>
                <w:szCs w:val="28"/>
                <w:rtl w:val="true"/>
              </w:rPr>
              <w:t>:</w:t>
            </w:r>
          </w:p>
        </w:tc>
        <w:tc>
          <w:tcPr>
            <w:tcW w:w="5272" w:type="dxa"/>
            <w:tcBorders/>
            <w:vAlign w:val="bottom"/>
          </w:tcPr>
          <w:p>
            <w:pPr>
              <w:pStyle w:val="Normal"/>
              <w:suppressLineNumbers/>
              <w:spacing w:lineRule="auto" w:line="360"/>
              <w:ind w:end="0"/>
              <w:jc w:val="start"/>
              <w:rPr>
                <w:rFonts w:ascii="David" w:hAnsi="David" w:cs="David"/>
                <w:sz w:val="28"/>
                <w:szCs w:val="28"/>
              </w:rPr>
            </w:pPr>
            <w:r>
              <w:rPr>
                <w:sz w:val="28"/>
                <w:sz w:val="28"/>
                <w:szCs w:val="28"/>
                <w:rtl w:val="true"/>
              </w:rPr>
              <w:t>י</w:t>
            </w:r>
            <w:r>
              <w:rPr>
                <w:sz w:val="28"/>
                <w:szCs w:val="28"/>
                <w:rtl w:val="true"/>
              </w:rPr>
              <w:t>.</w:t>
            </w:r>
            <w:r>
              <w:rPr>
                <w:sz w:val="28"/>
                <w:sz w:val="28"/>
                <w:szCs w:val="28"/>
                <w:rtl w:val="true"/>
              </w:rPr>
              <w:t>ח</w:t>
            </w:r>
            <w:r>
              <w:rPr>
                <w:sz w:val="28"/>
                <w:szCs w:val="28"/>
                <w:rtl w:val="true"/>
              </w:rPr>
              <w:t xml:space="preserve">. </w:t>
            </w:r>
            <w:r>
              <w:rPr>
                <w:sz w:val="28"/>
                <w:sz w:val="28"/>
                <w:szCs w:val="28"/>
                <w:rtl w:val="true"/>
              </w:rPr>
              <w:t>דמרי</w:t>
            </w:r>
            <w:r>
              <w:rPr>
                <w:rFonts w:cs="Times New Roman"/>
                <w:sz w:val="28"/>
                <w:sz w:val="28"/>
                <w:szCs w:val="28"/>
                <w:rtl w:val="true"/>
              </w:rPr>
              <w:t xml:space="preserve"> </w:t>
            </w:r>
            <w:r>
              <w:rPr>
                <w:sz w:val="28"/>
                <w:sz w:val="28"/>
                <w:szCs w:val="28"/>
                <w:rtl w:val="true"/>
              </w:rPr>
              <w:t>בניה</w:t>
            </w:r>
            <w:r>
              <w:rPr>
                <w:rFonts w:cs="Times New Roman"/>
                <w:sz w:val="28"/>
                <w:sz w:val="28"/>
                <w:szCs w:val="28"/>
                <w:rtl w:val="true"/>
              </w:rPr>
              <w:t xml:space="preserve"> </w:t>
            </w:r>
            <w:r>
              <w:rPr>
                <w:sz w:val="28"/>
                <w:sz w:val="28"/>
                <w:szCs w:val="28"/>
                <w:rtl w:val="true"/>
              </w:rPr>
              <w:t>ופיתוח</w:t>
            </w:r>
            <w:r>
              <w:rPr>
                <w:rFonts w:cs="Times New Roman"/>
                <w:sz w:val="28"/>
                <w:sz w:val="28"/>
                <w:szCs w:val="28"/>
                <w:rtl w:val="true"/>
              </w:rPr>
              <w:t xml:space="preserve"> </w:t>
            </w:r>
            <w:r>
              <w:rPr>
                <w:sz w:val="28"/>
                <w:sz w:val="28"/>
                <w:szCs w:val="28"/>
                <w:rtl w:val="true"/>
              </w:rPr>
              <w:t>בע</w:t>
            </w:r>
            <w:r>
              <w:rPr>
                <w:sz w:val="28"/>
                <w:szCs w:val="28"/>
                <w:rtl w:val="true"/>
              </w:rPr>
              <w:t>"</w:t>
            </w:r>
            <w:r>
              <w:rPr>
                <w:sz w:val="28"/>
                <w:sz w:val="28"/>
                <w:szCs w:val="28"/>
                <w:rtl w:val="true"/>
              </w:rPr>
              <w:t>מ</w:t>
            </w:r>
            <w:r>
              <w:rPr>
                <w:rFonts w:cs="Times New Roman"/>
                <w:sz w:val="28"/>
                <w:sz w:val="28"/>
                <w:szCs w:val="28"/>
                <w:rtl w:val="true"/>
              </w:rPr>
              <w:t xml:space="preserve"> </w:t>
            </w:r>
            <w:r>
              <w:rPr>
                <w:sz w:val="28"/>
                <w:sz w:val="28"/>
                <w:szCs w:val="28"/>
                <w:rtl w:val="true"/>
              </w:rPr>
              <w:t>ואח</w:t>
            </w:r>
            <w:r>
              <w:rPr>
                <w:sz w:val="28"/>
                <w:szCs w:val="28"/>
                <w:rtl w:val="true"/>
              </w:rPr>
              <w:t>'</w:t>
            </w:r>
          </w:p>
        </w:tc>
      </w:tr>
      <w:tr>
        <w:trPr/>
        <w:tc>
          <w:tcPr>
            <w:tcW w:w="3516" w:type="dxa"/>
            <w:tcBorders/>
            <w:vAlign w:val="bottom"/>
          </w:tcPr>
          <w:p>
            <w:pPr>
              <w:pStyle w:val="Normal"/>
              <w:suppressLineNumbers/>
              <w:snapToGrid w:val="false"/>
              <w:spacing w:lineRule="auto" w:line="360"/>
              <w:ind w:end="0"/>
              <w:jc w:val="start"/>
              <w:rPr>
                <w:rFonts w:ascii="David" w:hAnsi="David" w:cs="David"/>
                <w:sz w:val="28"/>
                <w:szCs w:val="28"/>
              </w:rPr>
            </w:pPr>
            <w:r>
              <w:rPr>
                <w:rFonts w:cs="David" w:ascii="David" w:hAnsi="David"/>
                <w:sz w:val="28"/>
                <w:szCs w:val="28"/>
                <w:rtl w:val="true"/>
              </w:rPr>
            </w:r>
          </w:p>
        </w:tc>
        <w:tc>
          <w:tcPr>
            <w:tcW w:w="5272" w:type="dxa"/>
            <w:tcBorders/>
            <w:vAlign w:val="bottom"/>
          </w:tcPr>
          <w:p>
            <w:pPr>
              <w:pStyle w:val="Normal"/>
              <w:suppressLineNumbers/>
              <w:snapToGrid w:val="false"/>
              <w:spacing w:lineRule="auto" w:line="360"/>
              <w:ind w:end="0"/>
              <w:jc w:val="start"/>
              <w:rPr>
                <w:rFonts w:ascii="David" w:hAnsi="David" w:cs="David"/>
                <w:sz w:val="28"/>
                <w:szCs w:val="28"/>
              </w:rPr>
            </w:pPr>
            <w:r>
              <w:rPr>
                <w:rFonts w:cs="David" w:ascii="David" w:hAnsi="David"/>
                <w:sz w:val="28"/>
                <w:szCs w:val="28"/>
                <w:rtl w:val="true"/>
              </w:rPr>
            </w:r>
          </w:p>
        </w:tc>
      </w:tr>
      <w:tr>
        <w:trPr/>
        <w:tc>
          <w:tcPr>
            <w:tcW w:w="3516" w:type="dxa"/>
            <w:tcBorders/>
            <w:vAlign w:val="bottom"/>
          </w:tcPr>
          <w:p>
            <w:pPr>
              <w:pStyle w:val="Normal"/>
              <w:suppressLineNumbers/>
              <w:spacing w:lineRule="auto" w:line="360"/>
              <w:ind w:end="0"/>
              <w:jc w:val="start"/>
              <w:rPr>
                <w:rFonts w:ascii="David" w:hAnsi="David" w:cs="David"/>
                <w:sz w:val="28"/>
                <w:szCs w:val="28"/>
              </w:rPr>
            </w:pPr>
            <w:bookmarkStart w:id="1" w:name="FirstLawyer"/>
            <w:bookmarkEnd w:id="1"/>
            <w:r>
              <w:rPr>
                <w:rFonts w:ascii="David" w:hAnsi="David"/>
                <w:sz w:val="28"/>
                <w:sz w:val="28"/>
                <w:szCs w:val="28"/>
                <w:rtl w:val="true"/>
              </w:rPr>
              <w:t xml:space="preserve">בשם העוררים בערר </w:t>
            </w:r>
            <w:r>
              <w:rPr>
                <w:rFonts w:cs="David" w:ascii="David" w:hAnsi="David"/>
                <w:sz w:val="28"/>
                <w:szCs w:val="28"/>
              </w:rPr>
              <w:t>8069-74/25</w:t>
            </w:r>
            <w:r>
              <w:rPr>
                <w:rFonts w:cs="David" w:ascii="David" w:hAnsi="David"/>
                <w:sz w:val="28"/>
                <w:szCs w:val="28"/>
                <w:rtl w:val="true"/>
              </w:rPr>
              <w:t xml:space="preserve"> </w:t>
            </w:r>
            <w:r>
              <w:rPr>
                <w:rFonts w:ascii="David" w:hAnsi="David"/>
                <w:sz w:val="28"/>
                <w:sz w:val="28"/>
                <w:szCs w:val="28"/>
                <w:rtl w:val="true"/>
              </w:rPr>
              <w:t>והמשיבים</w:t>
            </w:r>
            <w:r>
              <w:rPr>
                <w:rFonts w:cs="Times New Roman"/>
                <w:sz w:val="28"/>
                <w:sz w:val="28"/>
                <w:szCs w:val="28"/>
                <w:rtl w:val="true"/>
              </w:rPr>
              <w:t xml:space="preserve"> </w:t>
            </w:r>
            <w:r>
              <w:rPr>
                <w:sz w:val="28"/>
                <w:sz w:val="28"/>
                <w:szCs w:val="28"/>
                <w:rtl w:val="true"/>
              </w:rPr>
              <w:t>בערר</w:t>
            </w:r>
            <w:r>
              <w:rPr>
                <w:rFonts w:cs="Times New Roman"/>
                <w:sz w:val="28"/>
                <w:sz w:val="28"/>
                <w:szCs w:val="28"/>
                <w:rtl w:val="true"/>
              </w:rPr>
              <w:t xml:space="preserve"> </w:t>
            </w:r>
            <w:r>
              <w:rPr>
                <w:sz w:val="28"/>
                <w:szCs w:val="28"/>
              </w:rPr>
              <w:t>8059-64/25</w:t>
            </w:r>
            <w:r>
              <w:rPr>
                <w:sz w:val="28"/>
                <w:szCs w:val="28"/>
                <w:rtl w:val="true"/>
              </w:rPr>
              <w:t>:</w:t>
            </w:r>
          </w:p>
        </w:tc>
        <w:tc>
          <w:tcPr>
            <w:tcW w:w="5272" w:type="dxa"/>
            <w:tcBorders/>
            <w:vAlign w:val="bottom"/>
          </w:tcPr>
          <w:p>
            <w:pPr>
              <w:pStyle w:val="Normal"/>
              <w:suppressLineNumbers/>
              <w:spacing w:lineRule="auto" w:line="360"/>
              <w:ind w:end="0"/>
              <w:jc w:val="start"/>
              <w:rPr>
                <w:rFonts w:ascii="David" w:hAnsi="David" w:cs="David"/>
                <w:sz w:val="28"/>
                <w:szCs w:val="28"/>
              </w:rPr>
            </w:pPr>
            <w:r>
              <w:rPr>
                <w:rFonts w:ascii="David" w:hAnsi="David"/>
                <w:sz w:val="28"/>
                <w:sz w:val="28"/>
                <w:szCs w:val="28"/>
                <w:rtl w:val="true"/>
              </w:rPr>
              <w:t>עו</w:t>
            </w:r>
            <w:r>
              <w:rPr>
                <w:rFonts w:cs="David" w:ascii="David" w:hAnsi="David"/>
                <w:sz w:val="28"/>
                <w:szCs w:val="28"/>
                <w:rtl w:val="true"/>
              </w:rPr>
              <w:t>"</w:t>
            </w:r>
            <w:r>
              <w:rPr>
                <w:rFonts w:ascii="David" w:hAnsi="David"/>
                <w:sz w:val="28"/>
                <w:sz w:val="28"/>
                <w:szCs w:val="28"/>
                <w:rtl w:val="true"/>
              </w:rPr>
              <w:t>ד בנימין זלמנוביץ</w:t>
            </w:r>
          </w:p>
        </w:tc>
      </w:tr>
      <w:tr>
        <w:trPr/>
        <w:tc>
          <w:tcPr>
            <w:tcW w:w="3516" w:type="dxa"/>
            <w:tcBorders/>
            <w:vAlign w:val="bottom"/>
          </w:tcPr>
          <w:p>
            <w:pPr>
              <w:pStyle w:val="Normal"/>
              <w:suppressLineNumbers/>
              <w:snapToGrid w:val="false"/>
              <w:spacing w:lineRule="auto" w:line="360"/>
              <w:ind w:end="0"/>
              <w:jc w:val="start"/>
              <w:rPr>
                <w:rFonts w:ascii="David" w:hAnsi="David" w:cs="David"/>
                <w:sz w:val="28"/>
                <w:szCs w:val="28"/>
              </w:rPr>
            </w:pPr>
            <w:r>
              <w:rPr>
                <w:rFonts w:cs="David" w:ascii="David" w:hAnsi="David"/>
                <w:sz w:val="28"/>
                <w:szCs w:val="28"/>
                <w:rtl w:val="true"/>
              </w:rPr>
            </w:r>
          </w:p>
        </w:tc>
        <w:tc>
          <w:tcPr>
            <w:tcW w:w="5272" w:type="dxa"/>
            <w:tcBorders/>
            <w:vAlign w:val="bottom"/>
          </w:tcPr>
          <w:p>
            <w:pPr>
              <w:pStyle w:val="Normal"/>
              <w:suppressLineNumbers/>
              <w:snapToGrid w:val="false"/>
              <w:spacing w:lineRule="auto" w:line="360"/>
              <w:ind w:end="0"/>
              <w:jc w:val="start"/>
              <w:rPr>
                <w:rFonts w:ascii="David" w:hAnsi="David" w:cs="David"/>
                <w:sz w:val="28"/>
                <w:szCs w:val="28"/>
              </w:rPr>
            </w:pPr>
            <w:r>
              <w:rPr>
                <w:rFonts w:cs="David" w:ascii="David" w:hAnsi="David"/>
                <w:sz w:val="28"/>
                <w:szCs w:val="28"/>
                <w:rtl w:val="true"/>
              </w:rPr>
            </w:r>
          </w:p>
        </w:tc>
      </w:tr>
      <w:tr>
        <w:trPr/>
        <w:tc>
          <w:tcPr>
            <w:tcW w:w="3516" w:type="dxa"/>
            <w:tcBorders/>
            <w:vAlign w:val="bottom"/>
          </w:tcPr>
          <w:p>
            <w:pPr>
              <w:pStyle w:val="Normal"/>
              <w:suppressLineNumbers/>
              <w:spacing w:lineRule="auto" w:line="360"/>
              <w:ind w:end="0"/>
              <w:jc w:val="start"/>
              <w:rPr/>
            </w:pPr>
            <w:r>
              <w:rPr>
                <w:rFonts w:ascii="David" w:hAnsi="David"/>
                <w:sz w:val="28"/>
                <w:sz w:val="28"/>
                <w:szCs w:val="28"/>
                <w:rtl w:val="true"/>
              </w:rPr>
              <w:t xml:space="preserve">בשם העוררת </w:t>
            </w:r>
            <w:r>
              <w:rPr>
                <w:sz w:val="28"/>
                <w:sz w:val="28"/>
                <w:szCs w:val="28"/>
                <w:rtl w:val="true"/>
              </w:rPr>
              <w:t>בערר</w:t>
            </w:r>
            <w:r>
              <w:rPr>
                <w:rFonts w:cs="Times New Roman"/>
                <w:sz w:val="28"/>
                <w:sz w:val="28"/>
                <w:szCs w:val="28"/>
                <w:rtl w:val="true"/>
              </w:rPr>
              <w:t xml:space="preserve">  </w:t>
            </w:r>
            <w:r>
              <w:rPr>
                <w:sz w:val="28"/>
                <w:szCs w:val="28"/>
              </w:rPr>
              <w:t>8059-64/25</w:t>
            </w:r>
            <w:r>
              <w:rPr>
                <w:sz w:val="28"/>
                <w:szCs w:val="28"/>
                <w:rtl w:val="true"/>
              </w:rPr>
              <w:t xml:space="preserve"> </w:t>
            </w:r>
            <w:r>
              <w:rPr>
                <w:sz w:val="28"/>
                <w:sz w:val="28"/>
                <w:szCs w:val="28"/>
                <w:rtl w:val="true"/>
              </w:rPr>
              <w:t>ו</w:t>
            </w:r>
            <w:r>
              <w:rPr>
                <w:rFonts w:ascii="David" w:hAnsi="David"/>
                <w:sz w:val="28"/>
                <w:sz w:val="28"/>
                <w:szCs w:val="28"/>
                <w:rtl w:val="true"/>
              </w:rPr>
              <w:t xml:space="preserve">המשיבה בערר </w:t>
            </w:r>
            <w:r>
              <w:rPr>
                <w:rFonts w:cs="David" w:ascii="David" w:hAnsi="David"/>
                <w:sz w:val="28"/>
                <w:szCs w:val="28"/>
              </w:rPr>
              <w:t>8069-74/25</w:t>
            </w:r>
            <w:r>
              <w:rPr>
                <w:rFonts w:cs="David" w:ascii="David" w:hAnsi="David"/>
                <w:sz w:val="28"/>
                <w:szCs w:val="28"/>
                <w:rtl w:val="true"/>
              </w:rPr>
              <w:t>:</w:t>
            </w:r>
          </w:p>
        </w:tc>
        <w:tc>
          <w:tcPr>
            <w:tcW w:w="5272" w:type="dxa"/>
            <w:tcBorders/>
            <w:vAlign w:val="bottom"/>
          </w:tcPr>
          <w:p>
            <w:pPr>
              <w:pStyle w:val="Normal"/>
              <w:suppressLineNumbers/>
              <w:spacing w:lineRule="auto" w:line="360"/>
              <w:ind w:end="0"/>
              <w:jc w:val="start"/>
              <w:rPr>
                <w:rFonts w:ascii="David" w:hAnsi="David" w:cs="David"/>
                <w:sz w:val="28"/>
                <w:szCs w:val="28"/>
              </w:rPr>
            </w:pPr>
            <w:r>
              <w:rPr>
                <w:rFonts w:ascii="David" w:hAnsi="David"/>
                <w:sz w:val="28"/>
                <w:sz w:val="28"/>
                <w:szCs w:val="28"/>
                <w:rtl w:val="true"/>
              </w:rPr>
              <w:t>עו</w:t>
            </w:r>
            <w:r>
              <w:rPr>
                <w:rFonts w:cs="David" w:ascii="David" w:hAnsi="David"/>
                <w:sz w:val="28"/>
                <w:szCs w:val="28"/>
                <w:rtl w:val="true"/>
              </w:rPr>
              <w:t>"</w:t>
            </w:r>
            <w:r>
              <w:rPr>
                <w:rFonts w:ascii="David" w:hAnsi="David"/>
                <w:sz w:val="28"/>
                <w:sz w:val="28"/>
                <w:szCs w:val="28"/>
                <w:rtl w:val="true"/>
              </w:rPr>
              <w:t>ד רינת טוב כהן</w:t>
            </w:r>
          </w:p>
        </w:tc>
      </w:tr>
    </w:tbl>
    <w:p>
      <w:pPr>
        <w:pStyle w:val="Normal"/>
        <w:suppressLineNumbers/>
        <w:ind w:end="0"/>
        <w:jc w:val="start"/>
        <w:rPr>
          <w:rFonts w:ascii="David" w:hAnsi="David" w:cs="David"/>
        </w:rPr>
      </w:pPr>
      <w:r>
        <w:rPr>
          <w:rFonts w:cs="David" w:ascii="David" w:hAnsi="David"/>
          <w:rtl w:val="true"/>
        </w:rPr>
      </w:r>
    </w:p>
    <w:p>
      <w:pPr>
        <w:pStyle w:val="Ruller43"/>
        <w:numPr>
          <w:ilvl w:val="0"/>
          <w:numId w:val="14"/>
        </w:numPr>
        <w:spacing w:before="240" w:after="240"/>
        <w:ind w:hanging="510" w:start="510" w:end="0"/>
        <w:jc w:val="both"/>
        <w:rPr>
          <w:rFonts w:ascii="David" w:hAnsi="David" w:cs="David"/>
        </w:rPr>
      </w:pPr>
      <w:r>
        <w:rPr>
          <w:rFonts w:cs="David" w:ascii="David" w:hAnsi="David"/>
          <w:rtl w:val="true"/>
        </w:rPr>
      </w:r>
      <w:bookmarkStart w:id="2" w:name="NGCSBookmark"/>
      <w:bookmarkStart w:id="3" w:name="NGCSBookmark"/>
      <w:bookmarkEnd w:id="3"/>
    </w:p>
    <w:tbl>
      <w:tblPr>
        <w:bidiVisual w:val="true"/>
        <w:tblW w:w="8820" w:type="dxa"/>
        <w:jc w:val="center"/>
        <w:tblInd w:w="0" w:type="dxa"/>
        <w:tblLayout w:type="fixed"/>
        <w:tblCellMar>
          <w:top w:w="0" w:type="dxa"/>
          <w:start w:w="108" w:type="dxa"/>
          <w:bottom w:w="0" w:type="dxa"/>
          <w:end w:w="108" w:type="dxa"/>
        </w:tblCellMar>
      </w:tblPr>
      <w:tblGrid>
        <w:gridCol w:w="8820"/>
      </w:tblGrid>
      <w:tr>
        <w:trPr/>
        <w:tc>
          <w:tcPr>
            <w:tcW w:w="8820" w:type="dxa"/>
            <w:tcBorders/>
          </w:tcPr>
          <w:p>
            <w:pPr>
              <w:pStyle w:val="Normal"/>
              <w:bidi w:val="0"/>
              <w:snapToGrid w:val="false"/>
              <w:jc w:val="center"/>
              <w:rPr>
                <w:rFonts w:ascii="David" w:hAnsi="David" w:cs="David"/>
                <w:b/>
                <w:bCs/>
                <w:spacing w:val="40"/>
                <w:sz w:val="30"/>
                <w:szCs w:val="30"/>
              </w:rPr>
            </w:pPr>
            <w:r>
              <w:rPr>
                <w:rFonts w:cs="David" w:ascii="David" w:hAnsi="David"/>
                <w:b/>
                <w:bCs/>
                <w:spacing w:val="40"/>
                <w:sz w:val="30"/>
                <w:szCs w:val="30"/>
              </w:rPr>
            </w:r>
          </w:p>
          <w:p>
            <w:pPr>
              <w:pStyle w:val="Normal"/>
              <w:ind w:end="0"/>
              <w:jc w:val="center"/>
              <w:rPr>
                <w:rFonts w:ascii="David" w:hAnsi="David" w:cs="David"/>
                <w:b/>
                <w:bCs/>
                <w:spacing w:val="40"/>
                <w:sz w:val="30"/>
                <w:szCs w:val="30"/>
              </w:rPr>
            </w:pPr>
            <w:r>
              <w:rPr>
                <w:rFonts w:cs="David" w:ascii="David" w:hAnsi="David"/>
                <w:b/>
                <w:bCs/>
                <w:spacing w:val="40"/>
                <w:sz w:val="30"/>
                <w:szCs w:val="30"/>
                <w:rtl w:val="true"/>
              </w:rPr>
            </w:r>
            <w:bookmarkStart w:id="4" w:name="LawTable"/>
            <w:bookmarkStart w:id="5" w:name="LawTable"/>
            <w:bookmarkEnd w:id="5"/>
          </w:p>
          <w:p>
            <w:pPr>
              <w:pStyle w:val="Normal"/>
              <w:spacing w:lineRule="exact" w:line="240" w:before="120" w:after="120"/>
              <w:ind w:hanging="283" w:start="283" w:end="0"/>
              <w:jc w:val="both"/>
              <w:rPr>
                <w:rFonts w:ascii="FrankRuehl" w:hAnsi="FrankRuehl" w:cs="FrankRuehl"/>
                <w:spacing w:val="40"/>
                <w:sz w:val="30"/>
                <w:szCs w:val="30"/>
              </w:rPr>
            </w:pPr>
            <w:r>
              <w:rPr>
                <w:rFonts w:cs="FrankRuehl" w:ascii="FrankRuehl" w:hAnsi="FrankRuehl"/>
                <w:spacing w:val="40"/>
                <w:sz w:val="30"/>
                <w:szCs w:val="30"/>
                <w:rtl w:val="true"/>
              </w:rPr>
            </w:r>
          </w:p>
          <w:p>
            <w:pPr>
              <w:pStyle w:val="Normal"/>
              <w:spacing w:lineRule="exact" w:line="240" w:before="120" w:after="120"/>
              <w:ind w:hanging="283" w:start="283" w:end="0"/>
              <w:jc w:val="both"/>
              <w:rPr>
                <w:rFonts w:ascii="FrankRuehl" w:hAnsi="FrankRuehl" w:cs="FrankRuehl"/>
              </w:rPr>
            </w:pPr>
            <w:r>
              <w:rPr>
                <w:rFonts w:cs="FrankRuehl" w:ascii="FrankRuehl" w:hAnsi="FrankRuehl"/>
                <w:rtl w:val="true"/>
              </w:rPr>
            </w:r>
          </w:p>
          <w:p>
            <w:pPr>
              <w:pStyle w:val="Normal"/>
              <w:spacing w:lineRule="exact" w:line="240" w:before="120" w:after="120"/>
              <w:ind w:hanging="283" w:start="283" w:end="0"/>
              <w:jc w:val="both"/>
              <w:rPr>
                <w:rFonts w:ascii="FrankRuehl" w:hAnsi="FrankRuehl" w:cs="FrankRuehl"/>
              </w:rPr>
            </w:pPr>
            <w:r>
              <w:rPr>
                <w:rFonts w:ascii="FrankRuehl" w:hAnsi="FrankRuehl" w:cs="FrankRuehl"/>
                <w:rtl w:val="true"/>
              </w:rPr>
              <w:t>חקיקה שאוזכרה</w:t>
            </w:r>
            <w:r>
              <w:rPr>
                <w:rFonts w:cs="FrankRuehl" w:ascii="FrankRuehl" w:hAnsi="FrankRuehl"/>
                <w:rtl w:val="true"/>
              </w:rPr>
              <w:t xml:space="preserve">: </w:t>
            </w:r>
          </w:p>
          <w:p>
            <w:pPr>
              <w:pStyle w:val="Normal"/>
              <w:spacing w:lineRule="exact" w:line="240" w:before="120" w:after="120"/>
              <w:ind w:hanging="283" w:start="283" w:end="0"/>
              <w:jc w:val="both"/>
              <w:rPr>
                <w:rFonts w:ascii="FrankRuehl" w:hAnsi="FrankRuehl" w:cs="FrankRuehl"/>
              </w:rPr>
            </w:pPr>
            <w:hyperlink r:id="rId2">
              <w:r>
                <w:rPr>
                  <w:rStyle w:val="Hyperlink"/>
                  <w:rFonts w:ascii="FrankRuehl" w:hAnsi="FrankRuehl" w:cs="FrankRuehl"/>
                  <w:color w:val="0000FF"/>
                  <w:rtl w:val="true"/>
                </w:rPr>
                <w:t>חוק התכנון והבניה</w:t>
              </w:r>
              <w:r>
                <w:rPr>
                  <w:rStyle w:val="Hyperlink"/>
                  <w:rFonts w:cs="FrankRuehl" w:ascii="FrankRuehl" w:hAnsi="FrankRuehl"/>
                  <w:color w:val="0000FF"/>
                  <w:rtl w:val="true"/>
                </w:rPr>
                <w:t xml:space="preserve">, </w:t>
              </w:r>
              <w:r>
                <w:rPr>
                  <w:rStyle w:val="Hyperlink"/>
                  <w:rFonts w:ascii="FrankRuehl" w:hAnsi="FrankRuehl" w:cs="FrankRuehl"/>
                  <w:color w:val="0000FF"/>
                  <w:rtl w:val="true"/>
                </w:rPr>
                <w:t>תשכ</w:t>
              </w:r>
              <w:r>
                <w:rPr>
                  <w:rStyle w:val="Hyperlink"/>
                  <w:rFonts w:cs="FrankRuehl" w:ascii="FrankRuehl" w:hAnsi="FrankRuehl"/>
                  <w:color w:val="0000FF"/>
                  <w:rtl w:val="true"/>
                </w:rPr>
                <w:t>"</w:t>
              </w:r>
              <w:r>
                <w:rPr>
                  <w:rStyle w:val="Hyperlink"/>
                  <w:rFonts w:ascii="FrankRuehl" w:hAnsi="FrankRuehl" w:cs="FrankRuehl"/>
                  <w:color w:val="0000FF"/>
                  <w:rtl w:val="true"/>
                </w:rPr>
                <w:t>ה</w:t>
              </w:r>
              <w:r>
                <w:rPr>
                  <w:rStyle w:val="Hyperlink"/>
                  <w:rFonts w:cs="FrankRuehl" w:ascii="FrankRuehl" w:hAnsi="FrankRuehl"/>
                  <w:color w:val="0000FF"/>
                  <w:rtl w:val="true"/>
                </w:rPr>
                <w:t>-</w:t>
              </w:r>
              <w:r>
                <w:rPr>
                  <w:rStyle w:val="Hyperlink"/>
                  <w:rFonts w:cs="FrankRuehl" w:ascii="FrankRuehl" w:hAnsi="FrankRuehl"/>
                  <w:color w:val="0000FF"/>
                </w:rPr>
                <w:t>1965</w:t>
              </w:r>
            </w:hyperlink>
            <w:r>
              <w:rPr>
                <w:rFonts w:cs="FrankRuehl" w:ascii="FrankRuehl" w:hAnsi="FrankRuehl"/>
                <w:color w:val="0000FF"/>
                <w:rtl w:val="true"/>
              </w:rPr>
              <w:t xml:space="preserve">: </w:t>
            </w:r>
            <w:r>
              <w:rPr>
                <w:rFonts w:ascii="FrankRuehl" w:hAnsi="FrankRuehl" w:cs="FrankRuehl"/>
                <w:color w:val="0000FF"/>
                <w:rtl w:val="true"/>
              </w:rPr>
              <w:t>סע</w:t>
            </w:r>
            <w:r>
              <w:rPr>
                <w:rFonts w:cs="FrankRuehl" w:ascii="FrankRuehl" w:hAnsi="FrankRuehl"/>
                <w:color w:val="0000FF"/>
                <w:rtl w:val="true"/>
              </w:rPr>
              <w:t xml:space="preserve">'  </w:t>
            </w:r>
            <w:r>
              <w:rPr>
                <w:rFonts w:cs="FrankRuehl" w:ascii="FrankRuehl" w:hAnsi="FrankRuehl"/>
                <w:color w:val="0000FF"/>
              </w:rPr>
              <w:t>19</w:t>
            </w:r>
            <w:r>
              <w:rPr>
                <w:rFonts w:cs="FrankRuehl" w:ascii="FrankRuehl" w:hAnsi="FrankRuehl"/>
                <w:color w:val="0000FF"/>
                <w:rtl w:val="true"/>
              </w:rPr>
              <w:t>(</w:t>
            </w:r>
            <w:r>
              <w:rPr>
                <w:rFonts w:ascii="FrankRuehl" w:hAnsi="FrankRuehl" w:cs="FrankRuehl"/>
                <w:color w:val="0000FF"/>
                <w:rtl w:val="true"/>
              </w:rPr>
              <w:t>ב</w:t>
            </w:r>
            <w:r>
              <w:rPr>
                <w:rFonts w:cs="FrankRuehl" w:ascii="FrankRuehl" w:hAnsi="FrankRuehl"/>
                <w:color w:val="0000FF"/>
                <w:rtl w:val="true"/>
              </w:rPr>
              <w:t>)(</w:t>
            </w:r>
            <w:r>
              <w:rPr>
                <w:rFonts w:cs="FrankRuehl" w:ascii="FrankRuehl" w:hAnsi="FrankRuehl"/>
                <w:color w:val="0000FF"/>
              </w:rPr>
              <w:t>9</w:t>
            </w:r>
            <w:r>
              <w:rPr>
                <w:rFonts w:cs="FrankRuehl" w:ascii="FrankRuehl" w:hAnsi="FrankRuehl"/>
                <w:color w:val="0000FF"/>
                <w:rtl w:val="true"/>
              </w:rPr>
              <w:t xml:space="preserve">) </w:t>
            </w:r>
            <w:r>
              <w:rPr>
                <w:rFonts w:ascii="FrankRuehl" w:hAnsi="FrankRuehl" w:cs="FrankRuehl"/>
                <w:color w:val="0000FF"/>
                <w:rtl w:val="true"/>
              </w:rPr>
              <w:t>לתוספת השלישית</w:t>
            </w:r>
          </w:p>
          <w:p>
            <w:pPr>
              <w:pStyle w:val="Normal"/>
              <w:spacing w:lineRule="exact" w:line="240" w:before="120" w:after="120"/>
              <w:ind w:hanging="283" w:start="283" w:end="0"/>
              <w:jc w:val="both"/>
              <w:rPr>
                <w:rFonts w:ascii="FrankRuehl" w:hAnsi="FrankRuehl" w:cs="FrankRuehl"/>
              </w:rPr>
            </w:pPr>
            <w:hyperlink r:id="rId3">
              <w:r>
                <w:rPr>
                  <w:rStyle w:val="Hyperlink"/>
                  <w:rFonts w:ascii="FrankRuehl" w:hAnsi="FrankRuehl" w:cs="FrankRuehl"/>
                  <w:color w:val="0000FF"/>
                  <w:rtl w:val="true"/>
                </w:rPr>
                <w:t>חוק ההתגוננות האזרחית</w:t>
              </w:r>
              <w:r>
                <w:rPr>
                  <w:rStyle w:val="Hyperlink"/>
                  <w:rFonts w:cs="FrankRuehl" w:ascii="FrankRuehl" w:hAnsi="FrankRuehl"/>
                  <w:color w:val="0000FF"/>
                  <w:rtl w:val="true"/>
                </w:rPr>
                <w:t xml:space="preserve">, </w:t>
              </w:r>
              <w:r>
                <w:rPr>
                  <w:rStyle w:val="Hyperlink"/>
                  <w:rFonts w:ascii="FrankRuehl" w:hAnsi="FrankRuehl" w:cs="FrankRuehl"/>
                  <w:color w:val="0000FF"/>
                  <w:rtl w:val="true"/>
                </w:rPr>
                <w:t>תשי</w:t>
              </w:r>
              <w:r>
                <w:rPr>
                  <w:rStyle w:val="Hyperlink"/>
                  <w:rFonts w:cs="FrankRuehl" w:ascii="FrankRuehl" w:hAnsi="FrankRuehl"/>
                  <w:color w:val="0000FF"/>
                  <w:rtl w:val="true"/>
                </w:rPr>
                <w:t>"</w:t>
              </w:r>
              <w:r>
                <w:rPr>
                  <w:rStyle w:val="Hyperlink"/>
                  <w:rFonts w:ascii="FrankRuehl" w:hAnsi="FrankRuehl" w:cs="FrankRuehl"/>
                  <w:color w:val="0000FF"/>
                  <w:rtl w:val="true"/>
                </w:rPr>
                <w:t>א</w:t>
              </w:r>
              <w:r>
                <w:rPr>
                  <w:rStyle w:val="Hyperlink"/>
                  <w:rFonts w:cs="FrankRuehl" w:ascii="FrankRuehl" w:hAnsi="FrankRuehl"/>
                  <w:color w:val="0000FF"/>
                  <w:rtl w:val="true"/>
                </w:rPr>
                <w:t>-</w:t>
              </w:r>
              <w:r>
                <w:rPr>
                  <w:rStyle w:val="Hyperlink"/>
                  <w:rFonts w:cs="FrankRuehl" w:ascii="FrankRuehl" w:hAnsi="FrankRuehl"/>
                  <w:color w:val="0000FF"/>
                </w:rPr>
                <w:t>1951</w:t>
              </w:r>
            </w:hyperlink>
          </w:p>
          <w:p>
            <w:pPr>
              <w:pStyle w:val="Normal"/>
              <w:spacing w:lineRule="exact" w:line="240" w:before="120" w:after="120"/>
              <w:ind w:hanging="283" w:start="283" w:end="0"/>
              <w:jc w:val="both"/>
              <w:rPr>
                <w:rFonts w:ascii="FrankRuehl" w:hAnsi="FrankRuehl" w:cs="FrankRuehl"/>
              </w:rPr>
            </w:pPr>
            <w:hyperlink r:id="rId4">
              <w:r>
                <w:rPr>
                  <w:rStyle w:val="Hyperlink"/>
                  <w:rFonts w:ascii="FrankRuehl" w:hAnsi="FrankRuehl" w:cs="FrankRuehl"/>
                  <w:color w:val="0000FF"/>
                  <w:rtl w:val="true"/>
                </w:rPr>
                <w:t xml:space="preserve">חוק מיסוי מקרקעין </w:t>
              </w:r>
              <w:r>
                <w:rPr>
                  <w:rStyle w:val="Hyperlink"/>
                  <w:rFonts w:cs="FrankRuehl" w:ascii="FrankRuehl" w:hAnsi="FrankRuehl"/>
                  <w:color w:val="0000FF"/>
                  <w:rtl w:val="true"/>
                </w:rPr>
                <w:t>(</w:t>
              </w:r>
              <w:r>
                <w:rPr>
                  <w:rStyle w:val="Hyperlink"/>
                  <w:rFonts w:ascii="FrankRuehl" w:hAnsi="FrankRuehl" w:cs="FrankRuehl"/>
                  <w:color w:val="0000FF"/>
                  <w:rtl w:val="true"/>
                </w:rPr>
                <w:t>שבח ורכישה</w:t>
              </w:r>
              <w:r>
                <w:rPr>
                  <w:rStyle w:val="Hyperlink"/>
                  <w:rFonts w:cs="FrankRuehl" w:ascii="FrankRuehl" w:hAnsi="FrankRuehl"/>
                  <w:color w:val="0000FF"/>
                  <w:rtl w:val="true"/>
                </w:rPr>
                <w:t xml:space="preserve">), </w:t>
              </w:r>
              <w:r>
                <w:rPr>
                  <w:rStyle w:val="Hyperlink"/>
                  <w:rFonts w:ascii="FrankRuehl" w:hAnsi="FrankRuehl" w:cs="FrankRuehl"/>
                  <w:color w:val="0000FF"/>
                  <w:rtl w:val="true"/>
                </w:rPr>
                <w:t>תשכ</w:t>
              </w:r>
              <w:r>
                <w:rPr>
                  <w:rStyle w:val="Hyperlink"/>
                  <w:rFonts w:cs="FrankRuehl" w:ascii="FrankRuehl" w:hAnsi="FrankRuehl"/>
                  <w:color w:val="0000FF"/>
                  <w:rtl w:val="true"/>
                </w:rPr>
                <w:t>"</w:t>
              </w:r>
              <w:r>
                <w:rPr>
                  <w:rStyle w:val="Hyperlink"/>
                  <w:rFonts w:ascii="FrankRuehl" w:hAnsi="FrankRuehl" w:cs="FrankRuehl"/>
                  <w:color w:val="0000FF"/>
                  <w:rtl w:val="true"/>
                </w:rPr>
                <w:t>ג</w:t>
              </w:r>
              <w:r>
                <w:rPr>
                  <w:rStyle w:val="Hyperlink"/>
                  <w:rFonts w:cs="FrankRuehl" w:ascii="FrankRuehl" w:hAnsi="FrankRuehl"/>
                  <w:color w:val="0000FF"/>
                  <w:rtl w:val="true"/>
                </w:rPr>
                <w:t>-</w:t>
              </w:r>
              <w:r>
                <w:rPr>
                  <w:rStyle w:val="Hyperlink"/>
                  <w:rFonts w:cs="FrankRuehl" w:ascii="FrankRuehl" w:hAnsi="FrankRuehl"/>
                  <w:color w:val="0000FF"/>
                </w:rPr>
                <w:t>1963</w:t>
              </w:r>
            </w:hyperlink>
            <w:r>
              <w:rPr>
                <w:rFonts w:cs="FrankRuehl" w:ascii="FrankRuehl" w:hAnsi="FrankRuehl"/>
                <w:color w:val="0000FF"/>
                <w:rtl w:val="true"/>
              </w:rPr>
              <w:t xml:space="preserve">: </w:t>
            </w:r>
            <w:r>
              <w:rPr>
                <w:rFonts w:ascii="FrankRuehl" w:hAnsi="FrankRuehl" w:cs="FrankRuehl"/>
                <w:color w:val="0000FF"/>
                <w:rtl w:val="true"/>
              </w:rPr>
              <w:t>סע</w:t>
            </w:r>
            <w:r>
              <w:rPr>
                <w:rFonts w:cs="FrankRuehl" w:ascii="FrankRuehl" w:hAnsi="FrankRuehl"/>
                <w:color w:val="0000FF"/>
                <w:rtl w:val="true"/>
              </w:rPr>
              <w:t xml:space="preserve">'  </w:t>
            </w:r>
            <w:r>
              <w:rPr>
                <w:rFonts w:cs="FrankRuehl" w:ascii="FrankRuehl" w:hAnsi="FrankRuehl"/>
                <w:color w:val="0000FF"/>
              </w:rPr>
              <w:t>19</w:t>
            </w:r>
            <w:r>
              <w:rPr>
                <w:rFonts w:cs="FrankRuehl" w:ascii="FrankRuehl" w:hAnsi="FrankRuehl"/>
                <w:color w:val="0000FF"/>
                <w:rtl w:val="true"/>
              </w:rPr>
              <w:t>(</w:t>
            </w:r>
            <w:r>
              <w:rPr>
                <w:rFonts w:cs="FrankRuehl" w:ascii="FrankRuehl" w:hAnsi="FrankRuehl"/>
                <w:color w:val="0000FF"/>
              </w:rPr>
              <w:t>3</w:t>
            </w:r>
            <w:r>
              <w:rPr>
                <w:rFonts w:ascii="FrankRuehl" w:hAnsi="FrankRuehl" w:cs="FrankRuehl"/>
                <w:color w:val="0000FF"/>
                <w:rtl w:val="true"/>
              </w:rPr>
              <w:t>א</w:t>
            </w:r>
            <w:r>
              <w:rPr>
                <w:rFonts w:cs="FrankRuehl" w:ascii="FrankRuehl" w:hAnsi="FrankRuehl"/>
                <w:color w:val="0000FF"/>
                <w:rtl w:val="true"/>
              </w:rPr>
              <w:t xml:space="preserve">), </w:t>
            </w:r>
            <w:r>
              <w:rPr>
                <w:rFonts w:cs="FrankRuehl" w:ascii="FrankRuehl" w:hAnsi="FrankRuehl"/>
                <w:color w:val="0000FF"/>
              </w:rPr>
              <w:t>49</w:t>
            </w:r>
            <w:r>
              <w:rPr>
                <w:rFonts w:ascii="FrankRuehl" w:hAnsi="FrankRuehl" w:cs="FrankRuehl"/>
                <w:color w:val="0000FF"/>
                <w:rtl w:val="true"/>
              </w:rPr>
              <w:t>כ</w:t>
            </w:r>
          </w:p>
          <w:p>
            <w:pPr>
              <w:pStyle w:val="Normal"/>
              <w:ind w:end="0"/>
              <w:jc w:val="center"/>
              <w:rPr>
                <w:rFonts w:ascii="David" w:hAnsi="David" w:cs="David"/>
                <w:spacing w:val="40"/>
                <w:sz w:val="30"/>
                <w:szCs w:val="30"/>
              </w:rPr>
            </w:pPr>
            <w:r>
              <w:rPr>
                <w:rFonts w:cs="David" w:ascii="David" w:hAnsi="David"/>
                <w:spacing w:val="40"/>
                <w:sz w:val="30"/>
                <w:szCs w:val="30"/>
                <w:rtl w:val="true"/>
              </w:rPr>
            </w:r>
            <w:bookmarkStart w:id="6" w:name="LawTable_End"/>
            <w:bookmarkStart w:id="7" w:name="LawTable_End"/>
            <w:bookmarkEnd w:id="7"/>
          </w:p>
          <w:p>
            <w:pPr>
              <w:pStyle w:val="Normal"/>
              <w:bidi w:val="0"/>
              <w:jc w:val="center"/>
              <w:rPr>
                <w:rFonts w:ascii="David" w:hAnsi="David" w:cs="David"/>
                <w:b/>
                <w:bCs/>
                <w:spacing w:val="40"/>
                <w:sz w:val="30"/>
                <w:szCs w:val="30"/>
                <w:u w:val="single"/>
              </w:rPr>
            </w:pPr>
            <w:bookmarkStart w:id="8" w:name="PsakDin"/>
            <w:r>
              <w:rPr>
                <w:rFonts w:ascii="David" w:hAnsi="David"/>
                <w:b/>
                <w:b/>
                <w:bCs/>
                <w:spacing w:val="40"/>
                <w:sz w:val="30"/>
                <w:sz w:val="30"/>
                <w:szCs w:val="30"/>
                <w:u w:val="single"/>
                <w:rtl w:val="true"/>
              </w:rPr>
              <w:t>החלטה</w:t>
            </w:r>
            <w:bookmarkEnd w:id="8"/>
          </w:p>
          <w:p>
            <w:pPr>
              <w:pStyle w:val="Normal"/>
              <w:bidi w:val="0"/>
              <w:jc w:val="center"/>
              <w:rPr>
                <w:rFonts w:ascii="David" w:hAnsi="David" w:cs="David"/>
                <w:b/>
                <w:bCs/>
                <w:spacing w:val="40"/>
                <w:sz w:val="30"/>
                <w:szCs w:val="30"/>
                <w:u w:val="single"/>
              </w:rPr>
            </w:pPr>
            <w:r>
              <w:rPr>
                <w:rFonts w:cs="David" w:ascii="David" w:hAnsi="David"/>
                <w:b/>
                <w:bCs/>
                <w:spacing w:val="40"/>
                <w:sz w:val="30"/>
                <w:szCs w:val="30"/>
                <w:u w:val="single"/>
              </w:rPr>
            </w:r>
          </w:p>
        </w:tc>
      </w:tr>
    </w:tbl>
    <w:p>
      <w:pPr>
        <w:pStyle w:val="Ruller43"/>
        <w:numPr>
          <w:ilvl w:val="0"/>
          <w:numId w:val="14"/>
        </w:numPr>
        <w:spacing w:before="240" w:after="240"/>
        <w:ind w:hanging="510" w:start="510" w:end="0"/>
        <w:jc w:val="both"/>
        <w:rPr>
          <w:rFonts w:ascii="David" w:hAnsi="David" w:cs="David"/>
        </w:rPr>
      </w:pPr>
      <w:bookmarkStart w:id="9" w:name="ABSTRACT_START"/>
      <w:bookmarkEnd w:id="9"/>
      <w:r>
        <w:rPr>
          <w:rFonts w:ascii="David" w:hAnsi="David" w:cs="David"/>
          <w:rtl w:val="true"/>
        </w:rPr>
        <w:t xml:space="preserve">לפנינו עררים על שומות מכריעות שעניינן היטל השבחה החל בקשר למקרקעין הידועים כחלקות </w:t>
      </w:r>
      <w:r>
        <w:rPr>
          <w:rFonts w:cs="David" w:ascii="David" w:hAnsi="David"/>
        </w:rPr>
        <w:t>30-25</w:t>
      </w:r>
      <w:r>
        <w:rPr>
          <w:rFonts w:cs="David" w:ascii="David" w:hAnsi="David"/>
          <w:rtl w:val="true"/>
        </w:rPr>
        <w:t xml:space="preserve"> </w:t>
      </w:r>
      <w:r>
        <w:rPr>
          <w:rFonts w:ascii="David" w:hAnsi="David" w:cs="David"/>
          <w:rtl w:val="true"/>
        </w:rPr>
        <w:t xml:space="preserve">בגוש </w:t>
      </w:r>
      <w:r>
        <w:rPr>
          <w:rFonts w:cs="David" w:ascii="David" w:hAnsi="David"/>
        </w:rPr>
        <w:t>7944</w:t>
      </w:r>
      <w:r>
        <w:rPr>
          <w:rFonts w:cs="David" w:ascii="David" w:hAnsi="David"/>
          <w:rtl w:val="true"/>
        </w:rPr>
        <w:t xml:space="preserve">, </w:t>
      </w:r>
      <w:r>
        <w:rPr>
          <w:rFonts w:ascii="David" w:hAnsi="David" w:cs="David"/>
          <w:rtl w:val="true"/>
        </w:rPr>
        <w:t xml:space="preserve">מתחם פינוי ובינוי </w:t>
      </w:r>
      <w:r>
        <w:rPr>
          <w:rFonts w:cs="David" w:ascii="David" w:hAnsi="David"/>
          <w:rtl w:val="true"/>
        </w:rPr>
        <w:t>"</w:t>
      </w:r>
      <w:r>
        <w:rPr>
          <w:rFonts w:ascii="David" w:hAnsi="David" w:cs="David"/>
          <w:rtl w:val="true"/>
        </w:rPr>
        <w:t>נורדאו מקס</w:t>
      </w:r>
      <w:r>
        <w:rPr>
          <w:rFonts w:cs="David" w:ascii="David" w:hAnsi="David"/>
          <w:rtl w:val="true"/>
        </w:rPr>
        <w:t xml:space="preserve">" </w:t>
      </w:r>
      <w:r>
        <w:rPr>
          <w:rFonts w:ascii="David" w:hAnsi="David" w:cs="David"/>
          <w:rtl w:val="true"/>
        </w:rPr>
        <w:t>בעיר נתניה</w:t>
      </w:r>
      <w:r>
        <w:rPr>
          <w:rFonts w:cs="David" w:ascii="David" w:hAnsi="David"/>
          <w:rtl w:val="true"/>
        </w:rPr>
        <w:t xml:space="preserve">, </w:t>
      </w:r>
      <w:r>
        <w:rPr>
          <w:rFonts w:ascii="David" w:hAnsi="David" w:cs="David"/>
          <w:rtl w:val="true"/>
        </w:rPr>
        <w:t xml:space="preserve">עקב אישורה של תוכנית </w:t>
      </w:r>
      <w:r>
        <w:rPr>
          <w:rFonts w:cs="David" w:ascii="David" w:hAnsi="David"/>
        </w:rPr>
        <w:t>408-0517458</w:t>
      </w:r>
      <w:r>
        <w:rPr>
          <w:rFonts w:cs="David" w:ascii="David" w:hAnsi="David"/>
          <w:rtl w:val="true"/>
        </w:rPr>
        <w:t xml:space="preserve"> </w:t>
      </w:r>
      <w:r>
        <w:rPr>
          <w:rFonts w:ascii="David" w:hAnsi="David" w:cs="David"/>
          <w:rtl w:val="true"/>
        </w:rPr>
        <w:t>התחדשות עירונית</w:t>
      </w:r>
      <w:r>
        <w:rPr>
          <w:rFonts w:cs="David" w:ascii="David" w:hAnsi="David"/>
          <w:rtl w:val="true"/>
        </w:rPr>
        <w:t xml:space="preserve">, </w:t>
      </w:r>
      <w:r>
        <w:rPr>
          <w:rFonts w:ascii="David" w:hAnsi="David" w:cs="David"/>
          <w:rtl w:val="true"/>
        </w:rPr>
        <w:t>נתניה</w:t>
      </w:r>
      <w:r>
        <w:rPr>
          <w:rFonts w:cs="David" w:ascii="David" w:hAnsi="David"/>
          <w:rtl w:val="true"/>
        </w:rPr>
        <w:t xml:space="preserve">, </w:t>
      </w:r>
      <w:r>
        <w:rPr>
          <w:rFonts w:ascii="David" w:hAnsi="David" w:cs="David"/>
          <w:rtl w:val="true"/>
        </w:rPr>
        <w:t>נת</w:t>
      </w:r>
      <w:r>
        <w:rPr>
          <w:rFonts w:cs="David" w:ascii="David" w:hAnsi="David"/>
          <w:rtl w:val="true"/>
        </w:rPr>
        <w:t>/</w:t>
      </w:r>
      <w:r>
        <w:rPr>
          <w:rFonts w:ascii="David" w:hAnsi="David" w:cs="David"/>
          <w:rtl w:val="true"/>
        </w:rPr>
        <w:t>מק</w:t>
      </w:r>
      <w:r>
        <w:rPr>
          <w:rFonts w:cs="David" w:ascii="David" w:hAnsi="David"/>
          <w:rtl w:val="true"/>
        </w:rPr>
        <w:t>/</w:t>
      </w:r>
      <w:r>
        <w:rPr>
          <w:rFonts w:cs="David" w:ascii="David" w:hAnsi="David"/>
        </w:rPr>
        <w:t>18/401</w:t>
      </w:r>
      <w:r>
        <w:rPr>
          <w:rFonts w:cs="David" w:ascii="David" w:hAnsi="David"/>
          <w:rtl w:val="true"/>
        </w:rPr>
        <w:t>/</w:t>
      </w:r>
      <w:r>
        <w:rPr>
          <w:rFonts w:ascii="David" w:hAnsi="David" w:cs="David"/>
          <w:rtl w:val="true"/>
        </w:rPr>
        <w:t xml:space="preserve">ב </w:t>
      </w:r>
      <w:r>
        <w:rPr>
          <w:rFonts w:cs="David" w:ascii="David" w:hAnsi="David"/>
          <w:rtl w:val="true"/>
        </w:rPr>
        <w:t>(</w:t>
      </w:r>
      <w:r>
        <w:rPr>
          <w:rFonts w:cs="David" w:ascii="David" w:hAnsi="David"/>
        </w:rPr>
        <w:t>2022</w:t>
      </w:r>
      <w:r>
        <w:rPr>
          <w:rFonts w:cs="David" w:ascii="David" w:hAnsi="David"/>
          <w:rtl w:val="true"/>
        </w:rPr>
        <w:t>) (</w:t>
      </w:r>
      <w:r>
        <w:rPr>
          <w:rFonts w:ascii="David" w:hAnsi="David" w:cs="David"/>
          <w:rtl w:val="true"/>
        </w:rPr>
        <w:t>להלן</w:t>
      </w:r>
      <w:r>
        <w:rPr>
          <w:rFonts w:cs="David" w:ascii="David" w:hAnsi="David"/>
          <w:rtl w:val="true"/>
        </w:rPr>
        <w:t>: "</w:t>
      </w:r>
      <w:r>
        <w:rPr>
          <w:rFonts w:ascii="Miriam" w:hAnsi="Miriam" w:cs="Miriam"/>
          <w:rtl w:val="true"/>
        </w:rPr>
        <w:t>המתחם</w:t>
      </w:r>
      <w:r>
        <w:rPr>
          <w:rFonts w:cs="David" w:ascii="David" w:hAnsi="David"/>
          <w:rtl w:val="true"/>
        </w:rPr>
        <w:t xml:space="preserve">" </w:t>
      </w:r>
      <w:r>
        <w:rPr>
          <w:rFonts w:ascii="David" w:hAnsi="David" w:cs="David"/>
          <w:rtl w:val="true"/>
        </w:rPr>
        <w:t xml:space="preserve">או </w:t>
      </w:r>
      <w:r>
        <w:rPr>
          <w:rFonts w:cs="David" w:ascii="David" w:hAnsi="David"/>
          <w:rtl w:val="true"/>
        </w:rPr>
        <w:t>"</w:t>
      </w:r>
      <w:r>
        <w:rPr>
          <w:rFonts w:ascii="Miriam" w:hAnsi="Miriam" w:cs="Miriam"/>
          <w:rtl w:val="true"/>
        </w:rPr>
        <w:t>התוכנית</w:t>
      </w:r>
      <w:r>
        <w:rPr>
          <w:rFonts w:cs="David" w:ascii="David" w:hAnsi="David"/>
          <w:rtl w:val="true"/>
        </w:rPr>
        <w:t>").</w:t>
      </w:r>
      <w:bookmarkStart w:id="10" w:name="ABSTRACT_END"/>
      <w:bookmarkEnd w:id="10"/>
    </w:p>
    <w:p>
      <w:pPr>
        <w:pStyle w:val="Heading1"/>
        <w:suppressLineNumbers/>
        <w:spacing w:before="240" w:after="240"/>
        <w:ind w:firstLine="510" w:end="0"/>
        <w:jc w:val="start"/>
        <w:rPr/>
      </w:pPr>
      <w:r>
        <w:rPr>
          <w:rtl w:val="true"/>
        </w:rPr>
        <w:t>עובדות המקרה</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התוכנית קודמה על ידי י</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דמרי בניה ופיתוח בע</w:t>
      </w:r>
      <w:r>
        <w:rPr>
          <w:rFonts w:cs="David" w:ascii="David" w:hAnsi="David"/>
          <w:rtl w:val="true"/>
        </w:rPr>
        <w:t>"</w:t>
      </w:r>
      <w:r>
        <w:rPr>
          <w:rFonts w:ascii="David" w:hAnsi="David" w:cs="David"/>
          <w:rtl w:val="true"/>
        </w:rPr>
        <w:t>מ ואח</w:t>
      </w:r>
      <w:r>
        <w:rPr>
          <w:rFonts w:cs="David" w:ascii="David" w:hAnsi="David"/>
          <w:rtl w:val="true"/>
        </w:rPr>
        <w:t>' (</w:t>
      </w:r>
      <w:r>
        <w:rPr>
          <w:rFonts w:ascii="David" w:hAnsi="David" w:cs="David"/>
          <w:rtl w:val="true"/>
        </w:rPr>
        <w:t>להלן</w:t>
      </w:r>
      <w:r>
        <w:rPr>
          <w:rFonts w:cs="David" w:ascii="David" w:hAnsi="David"/>
          <w:rtl w:val="true"/>
        </w:rPr>
        <w:t>: "</w:t>
      </w:r>
      <w:r>
        <w:rPr>
          <w:rFonts w:ascii="Miriam" w:hAnsi="Miriam" w:cs="Miriam"/>
          <w:rtl w:val="true"/>
        </w:rPr>
        <w:t>דמרי</w:t>
      </w:r>
      <w:r>
        <w:rPr>
          <w:rFonts w:cs="David" w:ascii="David" w:hAnsi="David"/>
          <w:rtl w:val="true"/>
        </w:rPr>
        <w:t xml:space="preserve">"), </w:t>
      </w:r>
      <w:r>
        <w:rPr>
          <w:rFonts w:ascii="David" w:hAnsi="David" w:cs="David"/>
          <w:rtl w:val="true"/>
        </w:rPr>
        <w:t xml:space="preserve">היא העוררת בעררים </w:t>
      </w:r>
      <w:r>
        <w:rPr>
          <w:rFonts w:cs="David" w:ascii="David" w:hAnsi="David"/>
        </w:rPr>
        <w:t>8069-8074/0925</w:t>
      </w:r>
      <w:r>
        <w:rPr>
          <w:rFonts w:cs="David" w:ascii="David" w:hAnsi="David"/>
          <w:rtl w:val="true"/>
        </w:rPr>
        <w:t xml:space="preserve">, </w:t>
      </w:r>
      <w:r>
        <w:rPr>
          <w:rFonts w:ascii="David" w:hAnsi="David" w:cs="David"/>
          <w:rtl w:val="true"/>
        </w:rPr>
        <w:t>ומטרתה היא הקמת שלושה מגדלים המשמשים למגורים ומסחר</w:t>
      </w:r>
      <w:r>
        <w:rPr>
          <w:rFonts w:cs="David" w:ascii="David" w:hAnsi="David"/>
          <w:rtl w:val="true"/>
        </w:rPr>
        <w:t xml:space="preserve">, </w:t>
      </w:r>
      <w:r>
        <w:rPr>
          <w:rFonts w:ascii="David" w:hAnsi="David" w:cs="David"/>
          <w:rtl w:val="true"/>
        </w:rPr>
        <w:t xml:space="preserve">הכוללים </w:t>
      </w:r>
      <w:r>
        <w:rPr>
          <w:rFonts w:cs="David" w:ascii="David" w:hAnsi="David"/>
        </w:rPr>
        <w:t>553</w:t>
      </w:r>
      <w:r>
        <w:rPr>
          <w:rFonts w:cs="David" w:ascii="David" w:hAnsi="David"/>
          <w:rtl w:val="true"/>
        </w:rPr>
        <w:t xml:space="preserve"> </w:t>
      </w:r>
      <w:r>
        <w:rPr>
          <w:rFonts w:ascii="David" w:hAnsi="David" w:cs="David"/>
          <w:rtl w:val="true"/>
        </w:rPr>
        <w:t>יחידות דיור</w:t>
      </w:r>
      <w:r>
        <w:rPr>
          <w:rFonts w:cs="David" w:ascii="David" w:hAnsi="David"/>
          <w:rtl w:val="true"/>
        </w:rPr>
        <w:t xml:space="preserve">, </w:t>
      </w:r>
      <w:r>
        <w:rPr>
          <w:rFonts w:ascii="David" w:hAnsi="David" w:cs="David"/>
          <w:rtl w:val="true"/>
        </w:rPr>
        <w:t xml:space="preserve">חלף שבעה מבני רכבת ישנים שבהם </w:t>
      </w:r>
      <w:r>
        <w:rPr>
          <w:rFonts w:cs="David" w:ascii="David" w:hAnsi="David"/>
        </w:rPr>
        <w:t>138</w:t>
      </w:r>
      <w:r>
        <w:rPr>
          <w:rFonts w:cs="David" w:ascii="David" w:hAnsi="David"/>
          <w:rtl w:val="true"/>
        </w:rPr>
        <w:t xml:space="preserve"> </w:t>
      </w:r>
      <w:r>
        <w:rPr>
          <w:rFonts w:ascii="David" w:hAnsi="David" w:cs="David"/>
          <w:rtl w:val="true"/>
        </w:rPr>
        <w:t>יחידות דיור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 xml:space="preserve">התוכנית היא בסמכותה של הוועדה המקומית לתכנון ובנייה נתניה </w:t>
      </w:r>
      <w:r>
        <w:rPr>
          <w:rFonts w:cs="David" w:ascii="David" w:hAnsi="David"/>
          <w:rtl w:val="true"/>
        </w:rPr>
        <w:t>(</w:t>
      </w:r>
      <w:r>
        <w:rPr>
          <w:rFonts w:ascii="David" w:hAnsi="David" w:cs="David"/>
          <w:rtl w:val="true"/>
        </w:rPr>
        <w:t>להלן</w:t>
      </w:r>
      <w:r>
        <w:rPr>
          <w:rFonts w:cs="David" w:ascii="David" w:hAnsi="David"/>
          <w:rtl w:val="true"/>
        </w:rPr>
        <w:t xml:space="preserve">: </w:t>
      </w:r>
      <w:r>
        <w:rPr>
          <w:rFonts w:ascii="Miriam" w:hAnsi="Miriam" w:cs="Miriam"/>
          <w:rtl w:val="true"/>
        </w:rPr>
        <w:t>הוועדה המקומית</w:t>
      </w:r>
      <w:r>
        <w:rPr>
          <w:rFonts w:cs="David" w:ascii="David" w:hAnsi="David"/>
          <w:rtl w:val="true"/>
        </w:rPr>
        <w:t xml:space="preserve">), </w:t>
      </w:r>
      <w:r>
        <w:rPr>
          <w:rFonts w:ascii="David" w:hAnsi="David" w:cs="David"/>
          <w:rtl w:val="true"/>
        </w:rPr>
        <w:t xml:space="preserve">היא העוררת בעררים </w:t>
      </w:r>
      <w:r>
        <w:rPr>
          <w:rFonts w:cs="David"/>
          <w:sz w:val="28"/>
        </w:rPr>
        <w:t>8059-64/25</w:t>
      </w:r>
      <w:r>
        <w:rPr>
          <w:rFonts w:cs="David"/>
          <w:sz w:val="28"/>
          <w:rtl w:val="true"/>
        </w:rPr>
        <w:t xml:space="preserve">, </w:t>
      </w:r>
      <w:r>
        <w:rPr>
          <w:rFonts w:cs="David"/>
          <w:sz w:val="28"/>
          <w:sz w:val="28"/>
          <w:rtl w:val="true"/>
        </w:rPr>
        <w:t>שמעמדה</w:t>
      </w:r>
      <w:r>
        <w:rPr>
          <w:rFonts w:eastAsia="Arial TUR" w:cs="Arial TUR"/>
          <w:sz w:val="28"/>
          <w:sz w:val="28"/>
          <w:rtl w:val="true"/>
        </w:rPr>
        <w:t xml:space="preserve"> </w:t>
      </w:r>
      <w:r>
        <w:rPr>
          <w:rFonts w:cs="David"/>
          <w:sz w:val="28"/>
          <w:sz w:val="28"/>
          <w:rtl w:val="true"/>
        </w:rPr>
        <w:t>הוא</w:t>
      </w:r>
      <w:r>
        <w:rPr>
          <w:rFonts w:eastAsia="Arial TUR" w:cs="Arial TUR"/>
          <w:sz w:val="28"/>
          <w:sz w:val="28"/>
          <w:rtl w:val="true"/>
        </w:rPr>
        <w:t xml:space="preserve"> </w:t>
      </w:r>
      <w:r>
        <w:rPr>
          <w:rFonts w:cs="David"/>
          <w:sz w:val="28"/>
          <w:rtl w:val="true"/>
        </w:rPr>
        <w:t>"</w:t>
      </w:r>
      <w:r>
        <w:rPr>
          <w:rFonts w:cs="David"/>
          <w:sz w:val="28"/>
          <w:sz w:val="28"/>
          <w:rtl w:val="true"/>
        </w:rPr>
        <w:t>ועדה</w:t>
      </w:r>
      <w:r>
        <w:rPr>
          <w:rFonts w:eastAsia="Arial TUR" w:cs="Arial TUR"/>
          <w:sz w:val="28"/>
          <w:sz w:val="28"/>
          <w:rtl w:val="true"/>
        </w:rPr>
        <w:t xml:space="preserve"> </w:t>
      </w:r>
      <w:r>
        <w:rPr>
          <w:rFonts w:cs="David"/>
          <w:sz w:val="28"/>
          <w:sz w:val="28"/>
          <w:rtl w:val="true"/>
        </w:rPr>
        <w:t>עצמאית</w:t>
      </w:r>
      <w:r>
        <w:rPr>
          <w:rFonts w:eastAsia="Arial TUR" w:cs="Arial TUR"/>
          <w:sz w:val="28"/>
          <w:sz w:val="28"/>
          <w:rtl w:val="true"/>
        </w:rPr>
        <w:t xml:space="preserve"> </w:t>
      </w:r>
      <w:r>
        <w:rPr>
          <w:rFonts w:cs="David"/>
          <w:sz w:val="28"/>
          <w:sz w:val="28"/>
          <w:rtl w:val="true"/>
        </w:rPr>
        <w:t>מיוחדת</w:t>
      </w:r>
      <w:r>
        <w:rPr>
          <w:rFonts w:cs="David"/>
          <w:sz w:val="28"/>
          <w:rtl w:val="true"/>
        </w:rPr>
        <w:t xml:space="preserve">" </w:t>
      </w:r>
      <w:r>
        <w:rPr>
          <w:rFonts w:cs="David"/>
          <w:sz w:val="28"/>
          <w:sz w:val="28"/>
          <w:rtl w:val="true"/>
        </w:rPr>
        <w:t>לעניין</w:t>
      </w:r>
      <w:r>
        <w:rPr>
          <w:rFonts w:eastAsia="Arial TUR" w:cs="Arial TUR"/>
          <w:sz w:val="28"/>
          <w:sz w:val="28"/>
          <w:rtl w:val="true"/>
        </w:rPr>
        <w:t xml:space="preserve"> </w:t>
      </w:r>
      <w:hyperlink r:id="rId5">
        <w:r>
          <w:rPr>
            <w:rStyle w:val="Hyperlink"/>
            <w:rFonts w:cs="David"/>
            <w:color w:val="0000FF"/>
            <w:sz w:val="28"/>
            <w:sz w:val="28"/>
            <w:u w:val="single"/>
            <w:rtl w:val="true"/>
          </w:rPr>
          <w:t>חוק</w:t>
        </w:r>
        <w:r>
          <w:rPr>
            <w:rStyle w:val="Hyperlink"/>
            <w:rFonts w:eastAsia="Arial TUR" w:cs="Arial TUR"/>
            <w:color w:val="0000FF"/>
            <w:sz w:val="28"/>
            <w:sz w:val="28"/>
            <w:u w:val="single"/>
            <w:rtl w:val="true"/>
          </w:rPr>
          <w:t xml:space="preserve"> </w:t>
        </w:r>
        <w:r>
          <w:rPr>
            <w:rStyle w:val="Hyperlink"/>
            <w:rFonts w:cs="David"/>
            <w:color w:val="0000FF"/>
            <w:sz w:val="28"/>
            <w:sz w:val="28"/>
            <w:u w:val="single"/>
            <w:rtl w:val="true"/>
          </w:rPr>
          <w:t>התכנון</w:t>
        </w:r>
        <w:r>
          <w:rPr>
            <w:rStyle w:val="Hyperlink"/>
            <w:rFonts w:eastAsia="Arial TUR" w:cs="Arial TUR"/>
            <w:color w:val="0000FF"/>
            <w:sz w:val="28"/>
            <w:sz w:val="28"/>
            <w:u w:val="single"/>
            <w:rtl w:val="true"/>
          </w:rPr>
          <w:t xml:space="preserve"> </w:t>
        </w:r>
        <w:r>
          <w:rPr>
            <w:rStyle w:val="Hyperlink"/>
            <w:rFonts w:cs="David"/>
            <w:color w:val="0000FF"/>
            <w:sz w:val="28"/>
            <w:sz w:val="28"/>
            <w:u w:val="single"/>
            <w:rtl w:val="true"/>
          </w:rPr>
          <w:t>והבניה</w:t>
        </w:r>
      </w:hyperlink>
      <w:r>
        <w:rPr>
          <w:rFonts w:cs="David"/>
          <w:sz w:val="28"/>
          <w:rtl w:val="true"/>
        </w:rPr>
        <w:t xml:space="preserve">, </w:t>
      </w:r>
      <w:r>
        <w:rPr>
          <w:rFonts w:cs="David"/>
          <w:sz w:val="28"/>
          <w:sz w:val="28"/>
          <w:rtl w:val="true"/>
        </w:rPr>
        <w:t>תשכ</w:t>
      </w:r>
      <w:r>
        <w:rPr>
          <w:rFonts w:cs="David"/>
          <w:sz w:val="28"/>
          <w:rtl w:val="true"/>
        </w:rPr>
        <w:t>"</w:t>
      </w:r>
      <w:r>
        <w:rPr>
          <w:rFonts w:cs="David"/>
          <w:sz w:val="28"/>
          <w:sz w:val="28"/>
          <w:rtl w:val="true"/>
        </w:rPr>
        <w:t>ה</w:t>
      </w:r>
      <w:r>
        <w:rPr>
          <w:rFonts w:cs="David"/>
          <w:sz w:val="28"/>
          <w:rtl w:val="true"/>
        </w:rPr>
        <w:t>-</w:t>
      </w:r>
      <w:r>
        <w:rPr>
          <w:rFonts w:cs="David"/>
          <w:sz w:val="28"/>
        </w:rPr>
        <w:t>1965</w:t>
      </w:r>
      <w:r>
        <w:rPr>
          <w:rFonts w:cs="David"/>
          <w:sz w:val="28"/>
          <w:rtl w:val="true"/>
        </w:rPr>
        <w:t xml:space="preserve"> (</w:t>
      </w:r>
      <w:r>
        <w:rPr>
          <w:rFonts w:cs="David"/>
          <w:sz w:val="28"/>
          <w:sz w:val="28"/>
          <w:rtl w:val="true"/>
        </w:rPr>
        <w:t>להלן</w:t>
      </w:r>
      <w:r>
        <w:rPr>
          <w:rFonts w:cs="David"/>
          <w:sz w:val="28"/>
          <w:rtl w:val="true"/>
        </w:rPr>
        <w:t xml:space="preserve">: </w:t>
      </w:r>
      <w:hyperlink r:id="rId6">
        <w:r>
          <w:rPr>
            <w:rStyle w:val="Hyperlink"/>
            <w:rFonts w:ascii="Miriam" w:hAnsi="Miriam" w:cs="Miriam"/>
            <w:color w:val="0000FF"/>
            <w:sz w:val="28"/>
            <w:sz w:val="28"/>
            <w:u w:val="single"/>
            <w:rtl w:val="true"/>
          </w:rPr>
          <w:t>חוק התכנון והבנייה</w:t>
        </w:r>
      </w:hyperlink>
      <w:r>
        <w:rPr>
          <w:rFonts w:cs="David"/>
          <w:sz w:val="28"/>
          <w:rtl w:val="true"/>
        </w:rPr>
        <w:t xml:space="preserve">), </w:t>
      </w:r>
      <w:r>
        <w:rPr>
          <w:rFonts w:cs="David"/>
          <w:sz w:val="28"/>
          <w:sz w:val="28"/>
          <w:rtl w:val="true"/>
        </w:rPr>
        <w:t>והיא</w:t>
      </w:r>
      <w:r>
        <w:rPr>
          <w:rFonts w:eastAsia="Arial TUR" w:cs="Arial TUR"/>
          <w:sz w:val="28"/>
          <w:sz w:val="28"/>
          <w:rtl w:val="true"/>
        </w:rPr>
        <w:t xml:space="preserve"> </w:t>
      </w:r>
      <w:r>
        <w:rPr>
          <w:rFonts w:ascii="David" w:hAnsi="David" w:cs="David"/>
          <w:rtl w:val="true"/>
        </w:rPr>
        <w:t>לוותה בדו</w:t>
      </w:r>
      <w:r>
        <w:rPr>
          <w:rFonts w:cs="David" w:ascii="David" w:hAnsi="David"/>
          <w:rtl w:val="true"/>
        </w:rPr>
        <w:t>"</w:t>
      </w:r>
      <w:r>
        <w:rPr>
          <w:rFonts w:ascii="David" w:hAnsi="David" w:cs="David"/>
          <w:rtl w:val="true"/>
        </w:rPr>
        <w:t xml:space="preserve">ח כלכלי הנושא תאריך </w:t>
      </w:r>
      <w:r>
        <w:rPr>
          <w:rFonts w:cs="David" w:ascii="David" w:hAnsi="David"/>
        </w:rPr>
        <w:t>19.9.2021</w:t>
      </w:r>
      <w:r>
        <w:rPr>
          <w:rFonts w:cs="David" w:ascii="David" w:hAnsi="David"/>
          <w:rtl w:val="true"/>
        </w:rPr>
        <w:t xml:space="preserve">, </w:t>
      </w:r>
      <w:r>
        <w:rPr>
          <w:rFonts w:ascii="David" w:hAnsi="David" w:cs="David"/>
          <w:rtl w:val="true"/>
        </w:rPr>
        <w:t xml:space="preserve">שנערך בהתאם לעקרונות תקן </w:t>
      </w:r>
      <w:r>
        <w:rPr>
          <w:rFonts w:cs="David" w:ascii="David" w:hAnsi="David"/>
        </w:rPr>
        <w:t>21</w:t>
      </w:r>
      <w:r>
        <w:rPr>
          <w:rFonts w:cs="David" w:ascii="David" w:hAnsi="David"/>
          <w:rtl w:val="true"/>
        </w:rPr>
        <w:t>, "</w:t>
      </w:r>
      <w:r>
        <w:rPr>
          <w:rFonts w:ascii="David" w:hAnsi="David" w:cs="David"/>
          <w:rtl w:val="true"/>
        </w:rPr>
        <w:t>פירוט מזערי נדרש בשומות מקרקעין המבוצעות לצורך בדיקה שמאית כלכלית לתוכנית פינוי</w:t>
      </w:r>
      <w:r>
        <w:rPr>
          <w:rFonts w:cs="David" w:ascii="David" w:hAnsi="David"/>
          <w:rtl w:val="true"/>
        </w:rPr>
        <w:t>-</w:t>
      </w:r>
      <w:r>
        <w:rPr>
          <w:rFonts w:ascii="David" w:hAnsi="David" w:cs="David"/>
          <w:rtl w:val="true"/>
        </w:rPr>
        <w:t>בינוי</w:t>
      </w:r>
      <w:r>
        <w:rPr>
          <w:rFonts w:cs="David" w:ascii="David" w:hAnsi="David"/>
          <w:rtl w:val="true"/>
        </w:rPr>
        <w:t>" (</w:t>
      </w:r>
      <w:r>
        <w:rPr>
          <w:rFonts w:cs="David" w:ascii="David" w:hAnsi="David"/>
        </w:rPr>
        <w:t>2012</w:t>
      </w:r>
      <w:r>
        <w:rPr>
          <w:rFonts w:cs="David" w:ascii="David" w:hAnsi="David"/>
          <w:rtl w:val="true"/>
        </w:rPr>
        <w:t>) (</w:t>
      </w:r>
      <w:r>
        <w:rPr>
          <w:rFonts w:ascii="David" w:hAnsi="David" w:cs="David"/>
          <w:rtl w:val="true"/>
        </w:rPr>
        <w:t>להלן</w:t>
      </w:r>
      <w:r>
        <w:rPr>
          <w:rFonts w:cs="David" w:ascii="David" w:hAnsi="David"/>
          <w:rtl w:val="true"/>
        </w:rPr>
        <w:t>: "</w:t>
      </w:r>
      <w:r>
        <w:rPr>
          <w:rFonts w:ascii="Miriam" w:hAnsi="Miriam" w:cs="Miriam"/>
          <w:rtl w:val="true"/>
        </w:rPr>
        <w:t xml:space="preserve">תקן </w:t>
      </w:r>
      <w:r>
        <w:rPr>
          <w:rFonts w:cs="Miriam" w:ascii="Miriam" w:hAnsi="Miriam"/>
        </w:rPr>
        <w:t>21</w:t>
      </w:r>
      <w:r>
        <w:rPr>
          <w:rFonts w:cs="David" w:ascii="David" w:hAnsi="David"/>
          <w:rtl w:val="true"/>
        </w:rPr>
        <w:t>") (</w:t>
      </w:r>
      <w:r>
        <w:rPr>
          <w:rFonts w:ascii="David" w:hAnsi="David" w:cs="David"/>
          <w:rtl w:val="true"/>
        </w:rPr>
        <w:t>להלן</w:t>
      </w:r>
      <w:r>
        <w:rPr>
          <w:rFonts w:cs="David" w:ascii="David" w:hAnsi="David"/>
          <w:rtl w:val="true"/>
        </w:rPr>
        <w:t>: "</w:t>
      </w:r>
      <w:r>
        <w:rPr>
          <w:rFonts w:ascii="Miriam" w:hAnsi="Miriam" w:cs="Miriam"/>
          <w:rtl w:val="true"/>
        </w:rPr>
        <w:t>הדו</w:t>
      </w:r>
      <w:r>
        <w:rPr>
          <w:rFonts w:cs="Miriam" w:ascii="Miriam" w:hAnsi="Miriam"/>
          <w:rtl w:val="true"/>
        </w:rPr>
        <w:t>"</w:t>
      </w:r>
      <w:r>
        <w:rPr>
          <w:rFonts w:ascii="Miriam" w:hAnsi="Miriam" w:cs="Miriam"/>
          <w:rtl w:val="true"/>
        </w:rPr>
        <w:t>ח הכלכלי</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בדו</w:t>
      </w:r>
      <w:r>
        <w:rPr>
          <w:rFonts w:cs="David" w:ascii="David" w:hAnsi="David"/>
          <w:rtl w:val="true"/>
        </w:rPr>
        <w:t>"</w:t>
      </w:r>
      <w:r>
        <w:rPr>
          <w:rFonts w:ascii="David" w:hAnsi="David" w:cs="David"/>
          <w:rtl w:val="true"/>
        </w:rPr>
        <w:t xml:space="preserve">ח זה הוערך הרווח הצפוי במיזם בשיעור של </w:t>
      </w:r>
      <w:r>
        <w:rPr>
          <w:rFonts w:cs="David" w:ascii="David" w:hAnsi="David"/>
        </w:rPr>
        <w:t>17%</w:t>
      </w:r>
      <w:r>
        <w:rPr>
          <w:rFonts w:cs="David" w:ascii="David" w:hAnsi="David"/>
          <w:rtl w:val="true"/>
        </w:rPr>
        <w:t xml:space="preserve">, </w:t>
      </w:r>
      <w:r>
        <w:rPr>
          <w:rFonts w:ascii="David" w:hAnsi="David" w:cs="David"/>
          <w:rtl w:val="true"/>
        </w:rPr>
        <w:t>זאת בהתחשב בעלויות מימוש התוכנית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בד בבד עם קידומו של ההליך התכנוני</w:t>
      </w:r>
      <w:r>
        <w:rPr>
          <w:rFonts w:cs="David" w:ascii="David" w:hAnsi="David"/>
          <w:rtl w:val="true"/>
        </w:rPr>
        <w:t xml:space="preserve">, </w:t>
      </w:r>
      <w:r>
        <w:rPr>
          <w:rFonts w:ascii="David" w:hAnsi="David" w:cs="David"/>
          <w:rtl w:val="true"/>
        </w:rPr>
        <w:t>התקשרה דמרי בהסכמים עם בעלי הזכויות במתחם</w:t>
      </w:r>
      <w:r>
        <w:rPr>
          <w:rFonts w:cs="David" w:ascii="David" w:hAnsi="David"/>
          <w:rtl w:val="true"/>
        </w:rPr>
        <w:t xml:space="preserve">. </w:t>
      </w:r>
      <w:r>
        <w:rPr>
          <w:rFonts w:ascii="David" w:hAnsi="David" w:cs="David"/>
          <w:rtl w:val="true"/>
        </w:rPr>
        <w:t xml:space="preserve">התקשרויות אלה החלו כבר בשנת </w:t>
      </w:r>
      <w:r>
        <w:rPr>
          <w:rFonts w:cs="David" w:ascii="David" w:hAnsi="David"/>
        </w:rPr>
        <w:t>2019</w:t>
      </w:r>
      <w:r>
        <w:rPr>
          <w:rFonts w:cs="David" w:ascii="David" w:hAnsi="David"/>
          <w:rtl w:val="true"/>
        </w:rPr>
        <w:t xml:space="preserve">. </w:t>
      </w:r>
      <w:r>
        <w:rPr>
          <w:rFonts w:ascii="David" w:hAnsi="David" w:cs="David"/>
          <w:rtl w:val="true"/>
        </w:rPr>
        <w:t>על פי הנספח החברתי לתוכנית</w:t>
      </w:r>
      <w:r>
        <w:rPr>
          <w:rFonts w:cs="David" w:ascii="David" w:hAnsi="David"/>
          <w:rtl w:val="true"/>
        </w:rPr>
        <w:t xml:space="preserve">, </w:t>
      </w:r>
      <w:r>
        <w:rPr>
          <w:rFonts w:ascii="David" w:hAnsi="David" w:cs="David"/>
          <w:rtl w:val="true"/>
        </w:rPr>
        <w:t xml:space="preserve">בחודש ינואר </w:t>
      </w:r>
      <w:r>
        <w:rPr>
          <w:rFonts w:cs="David" w:ascii="David" w:hAnsi="David"/>
        </w:rPr>
        <w:t>2021</w:t>
      </w:r>
      <w:r>
        <w:rPr>
          <w:rFonts w:cs="David" w:ascii="David" w:hAnsi="David"/>
          <w:rtl w:val="true"/>
        </w:rPr>
        <w:t xml:space="preserve"> </w:t>
      </w:r>
      <w:r>
        <w:rPr>
          <w:rFonts w:ascii="David" w:hAnsi="David" w:cs="David"/>
          <w:rtl w:val="true"/>
        </w:rPr>
        <w:t xml:space="preserve">עמד שיעור בעלי הזכויות שהתקשרו עם דמרי על </w:t>
      </w:r>
      <w:r>
        <w:rPr>
          <w:rFonts w:cs="David" w:ascii="David" w:hAnsi="David"/>
        </w:rPr>
        <w:t>75%</w:t>
      </w:r>
      <w:r>
        <w:rPr>
          <w:rFonts w:cs="David" w:ascii="David" w:hAnsi="David"/>
          <w:rtl w:val="true"/>
        </w:rPr>
        <w:t xml:space="preserve">, </w:t>
      </w:r>
      <w:r>
        <w:rPr>
          <w:rFonts w:ascii="David" w:hAnsi="David" w:cs="David"/>
          <w:rtl w:val="true"/>
        </w:rPr>
        <w:t xml:space="preserve">ואילו במועד כניסתה של התוכנית לתוקף עלה שיעור זה על </w:t>
      </w:r>
      <w:r>
        <w:rPr>
          <w:rFonts w:cs="David" w:ascii="David" w:hAnsi="David"/>
        </w:rPr>
        <w:t>80%</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לאחר אישורה של התוכנית בוצעו במתחם שתי עסקאות מכר</w:t>
      </w:r>
      <w:r>
        <w:rPr>
          <w:rFonts w:cs="David" w:ascii="David" w:hAnsi="David"/>
          <w:rtl w:val="true"/>
        </w:rPr>
        <w:t xml:space="preserve">. </w:t>
      </w:r>
      <w:r>
        <w:rPr>
          <w:rFonts w:ascii="David" w:hAnsi="David" w:cs="David"/>
          <w:rtl w:val="true"/>
        </w:rPr>
        <w:t xml:space="preserve">האחת היא עסקה שנערכה ביום </w:t>
      </w:r>
      <w:r>
        <w:rPr>
          <w:rFonts w:cs="David" w:ascii="David" w:hAnsi="David"/>
        </w:rPr>
        <w:t>2.2.2023</w:t>
      </w:r>
      <w:r>
        <w:rPr>
          <w:rFonts w:cs="David" w:ascii="David" w:hAnsi="David"/>
          <w:rtl w:val="true"/>
        </w:rPr>
        <w:t xml:space="preserve"> </w:t>
      </w:r>
      <w:r>
        <w:rPr>
          <w:rFonts w:ascii="David" w:hAnsi="David" w:cs="David"/>
          <w:rtl w:val="true"/>
        </w:rPr>
        <w:t>בתת</w:t>
      </w:r>
      <w:r>
        <w:rPr>
          <w:rFonts w:cs="David" w:ascii="David" w:hAnsi="David"/>
          <w:rtl w:val="true"/>
        </w:rPr>
        <w:t>-</w:t>
      </w:r>
      <w:r>
        <w:rPr>
          <w:rFonts w:ascii="David" w:hAnsi="David" w:cs="David"/>
          <w:rtl w:val="true"/>
        </w:rPr>
        <w:t xml:space="preserve">חלקה </w:t>
      </w:r>
      <w:r>
        <w:rPr>
          <w:rFonts w:cs="David" w:ascii="David" w:hAnsi="David"/>
        </w:rPr>
        <w:t>14</w:t>
      </w:r>
      <w:r>
        <w:rPr>
          <w:rFonts w:cs="David" w:ascii="David" w:hAnsi="David"/>
          <w:rtl w:val="true"/>
        </w:rPr>
        <w:t xml:space="preserve"> </w:t>
      </w:r>
      <w:r>
        <w:rPr>
          <w:rFonts w:ascii="David" w:hAnsi="David" w:cs="David"/>
          <w:rtl w:val="true"/>
        </w:rPr>
        <w:t xml:space="preserve">בחלקה </w:t>
      </w:r>
      <w:r>
        <w:rPr>
          <w:rFonts w:cs="David" w:ascii="David" w:hAnsi="David"/>
        </w:rPr>
        <w:t>26</w:t>
      </w:r>
      <w:r>
        <w:rPr>
          <w:rFonts w:cs="David" w:ascii="David" w:hAnsi="David"/>
          <w:rtl w:val="true"/>
        </w:rPr>
        <w:t xml:space="preserve">, </w:t>
      </w:r>
      <w:r>
        <w:rPr>
          <w:rFonts w:ascii="David" w:hAnsi="David" w:cs="David"/>
          <w:rtl w:val="true"/>
        </w:rPr>
        <w:t>לפיה נמכרה דירת מגורים בתמורה ל</w:t>
      </w:r>
      <w:r>
        <w:rPr>
          <w:rFonts w:cs="David" w:ascii="David" w:hAnsi="David"/>
          <w:rtl w:val="true"/>
        </w:rPr>
        <w:t>-</w:t>
      </w:r>
      <w:r>
        <w:rPr>
          <w:rFonts w:cs="David" w:ascii="David" w:hAnsi="David"/>
        </w:rPr>
        <w:t>1,700,000</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 xml:space="preserve">והשניה היא עסקה שנערכה ביום </w:t>
      </w:r>
      <w:r>
        <w:rPr>
          <w:rFonts w:cs="David" w:ascii="David" w:hAnsi="David"/>
        </w:rPr>
        <w:t>16.1.2023</w:t>
      </w:r>
      <w:r>
        <w:rPr>
          <w:rFonts w:cs="David" w:ascii="David" w:hAnsi="David"/>
          <w:rtl w:val="true"/>
        </w:rPr>
        <w:t xml:space="preserve"> </w:t>
      </w:r>
      <w:r>
        <w:rPr>
          <w:rFonts w:ascii="David" w:hAnsi="David" w:cs="David"/>
          <w:rtl w:val="true"/>
        </w:rPr>
        <w:t>בתת</w:t>
      </w:r>
      <w:r>
        <w:rPr>
          <w:rFonts w:cs="David" w:ascii="David" w:hAnsi="David"/>
          <w:rtl w:val="true"/>
        </w:rPr>
        <w:t>-</w:t>
      </w:r>
      <w:r>
        <w:rPr>
          <w:rFonts w:ascii="David" w:hAnsi="David" w:cs="David"/>
          <w:rtl w:val="true"/>
        </w:rPr>
        <w:t xml:space="preserve">חלקה </w:t>
      </w:r>
      <w:r>
        <w:rPr>
          <w:rFonts w:cs="David" w:ascii="David" w:hAnsi="David"/>
        </w:rPr>
        <w:t>6</w:t>
      </w:r>
      <w:r>
        <w:rPr>
          <w:rFonts w:cs="David" w:ascii="David" w:hAnsi="David"/>
          <w:rtl w:val="true"/>
        </w:rPr>
        <w:t xml:space="preserve"> </w:t>
      </w:r>
      <w:r>
        <w:rPr>
          <w:rFonts w:ascii="David" w:hAnsi="David" w:cs="David"/>
          <w:rtl w:val="true"/>
        </w:rPr>
        <w:t xml:space="preserve">בחלקה </w:t>
      </w:r>
      <w:r>
        <w:rPr>
          <w:rFonts w:cs="David" w:ascii="David" w:hAnsi="David"/>
        </w:rPr>
        <w:t>28</w:t>
      </w:r>
      <w:r>
        <w:rPr>
          <w:rFonts w:cs="David" w:ascii="David" w:hAnsi="David"/>
          <w:rtl w:val="true"/>
        </w:rPr>
        <w:t xml:space="preserve">, </w:t>
      </w:r>
      <w:r>
        <w:rPr>
          <w:rFonts w:ascii="David" w:hAnsi="David" w:cs="David"/>
          <w:rtl w:val="true"/>
        </w:rPr>
        <w:t>לפיה נמכרה דירת מגורים בתמורה ל</w:t>
      </w:r>
      <w:r>
        <w:rPr>
          <w:rFonts w:cs="David" w:ascii="David" w:hAnsi="David"/>
          <w:rtl w:val="true"/>
        </w:rPr>
        <w:t>-</w:t>
      </w:r>
      <w:r>
        <w:rPr>
          <w:rFonts w:cs="David" w:ascii="David" w:hAnsi="David"/>
        </w:rPr>
        <w:t>1,500,000</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במקביל לכך</w:t>
      </w:r>
      <w:r>
        <w:rPr>
          <w:rFonts w:cs="David" w:ascii="David" w:hAnsi="David"/>
          <w:rtl w:val="true"/>
        </w:rPr>
        <w:t xml:space="preserve">, </w:t>
      </w:r>
      <w:r>
        <w:rPr>
          <w:rFonts w:ascii="David" w:hAnsi="David" w:cs="David"/>
          <w:rtl w:val="true"/>
        </w:rPr>
        <w:t>פעלה דמרי למימוש התוכנית בדרך של הגשת מספר בקשות להיתרי בנייה</w:t>
      </w:r>
      <w:r>
        <w:rPr>
          <w:rFonts w:cs="David" w:ascii="David" w:hAnsi="David"/>
          <w:rtl w:val="true"/>
        </w:rPr>
        <w:t xml:space="preserve">. </w:t>
      </w:r>
      <w:r>
        <w:rPr>
          <w:rFonts w:ascii="David" w:hAnsi="David" w:cs="David"/>
          <w:rtl w:val="true"/>
        </w:rPr>
        <w:t>תחילה הוגשו בקשות להיתרי חפירה ודיפון</w:t>
      </w:r>
      <w:r>
        <w:rPr>
          <w:rFonts w:cs="David" w:ascii="David" w:hAnsi="David"/>
          <w:rtl w:val="true"/>
        </w:rPr>
        <w:t xml:space="preserve">, </w:t>
      </w:r>
      <w:r>
        <w:rPr>
          <w:rFonts w:ascii="David" w:hAnsi="David" w:cs="David"/>
          <w:rtl w:val="true"/>
        </w:rPr>
        <w:t xml:space="preserve">אשר אושרו באופן עקרוני בסוף שנת </w:t>
      </w:r>
      <w:r>
        <w:rPr>
          <w:rFonts w:cs="David" w:ascii="David" w:hAnsi="David"/>
        </w:rPr>
        <w:t>2023</w:t>
      </w:r>
      <w:r>
        <w:rPr>
          <w:rFonts w:cs="David" w:ascii="David" w:hAnsi="David"/>
          <w:rtl w:val="true"/>
        </w:rPr>
        <w:t xml:space="preserve">. </w:t>
      </w:r>
      <w:r>
        <w:rPr>
          <w:rFonts w:ascii="David" w:hAnsi="David" w:cs="David"/>
          <w:rtl w:val="true"/>
        </w:rPr>
        <w:t>בהמשך</w:t>
      </w:r>
      <w:r>
        <w:rPr>
          <w:rFonts w:cs="David" w:ascii="David" w:hAnsi="David"/>
          <w:rtl w:val="true"/>
        </w:rPr>
        <w:t xml:space="preserve">, </w:t>
      </w:r>
      <w:r>
        <w:rPr>
          <w:rFonts w:ascii="David" w:hAnsi="David" w:cs="David"/>
          <w:rtl w:val="true"/>
        </w:rPr>
        <w:t xml:space="preserve">בשנת </w:t>
      </w:r>
      <w:r>
        <w:rPr>
          <w:rFonts w:cs="David" w:ascii="David" w:hAnsi="David"/>
        </w:rPr>
        <w:t>2025</w:t>
      </w:r>
      <w:r>
        <w:rPr>
          <w:rFonts w:cs="David" w:ascii="David" w:hAnsi="David"/>
          <w:rtl w:val="true"/>
        </w:rPr>
        <w:t xml:space="preserve">, </w:t>
      </w:r>
      <w:r>
        <w:rPr>
          <w:rFonts w:ascii="David" w:hAnsi="David" w:cs="David"/>
          <w:rtl w:val="true"/>
        </w:rPr>
        <w:t>הוגשו בקשות להיתרי בנייה למימוש זכויות הבנייה מכוח התוכנית</w:t>
      </w:r>
      <w:r>
        <w:rPr>
          <w:rFonts w:cs="David" w:ascii="David" w:hAnsi="David"/>
          <w:rtl w:val="true"/>
        </w:rPr>
        <w:t xml:space="preserve">, </w:t>
      </w:r>
      <w:r>
        <w:rPr>
          <w:rFonts w:ascii="David" w:hAnsi="David" w:cs="David"/>
          <w:rtl w:val="true"/>
        </w:rPr>
        <w:t>ואף הן אושרו באופן עקרוני</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color w:val="FFFFFF"/>
          <w:sz w:val="2"/>
          <w:sz w:val="2"/>
          <w:szCs w:val="2"/>
          <w:rtl w:val="true"/>
        </w:rPr>
        <w:t xml:space="preserve">ההתיישבות העותומנית </w:t>
      </w:r>
      <w:r>
        <w:rPr>
          <w:rFonts w:cs="David" w:ascii="David" w:hAnsi="David"/>
          <w:color w:val="FFFFFF"/>
          <w:sz w:val="2"/>
          <w:szCs w:val="2"/>
          <w:rtl w:val="true"/>
        </w:rPr>
        <w:t>[</w:t>
      </w:r>
      <w:r>
        <w:rPr>
          <w:rFonts w:ascii="David" w:hAnsi="David" w:cs="David"/>
          <w:color w:val="FFFFFF"/>
          <w:sz w:val="2"/>
          <w:sz w:val="2"/>
          <w:szCs w:val="2"/>
          <w:rtl w:val="true"/>
        </w:rPr>
        <w:t>נוסח ישן</w:t>
      </w:r>
      <w:r>
        <w:rPr>
          <w:rFonts w:cs="David" w:ascii="David" w:hAnsi="David"/>
          <w:color w:val="FFFFFF"/>
          <w:sz w:val="2"/>
          <w:szCs w:val="2"/>
          <w:rtl w:val="true"/>
        </w:rPr>
        <w:t xml:space="preserve">] </w:t>
      </w:r>
      <w:r>
        <w:rPr>
          <w:rFonts w:cs="David" w:ascii="David" w:hAnsi="David"/>
          <w:color w:val="FFFFFF"/>
          <w:sz w:val="2"/>
          <w:szCs w:val="2"/>
        </w:rPr>
        <w:t>1916</w:t>
      </w:r>
      <w:r>
        <w:rPr>
          <w:rFonts w:ascii="David" w:hAnsi="David" w:cs="David"/>
          <w:rtl w:val="true"/>
        </w:rPr>
        <w:t>על רקע זה</w:t>
      </w:r>
      <w:r>
        <w:rPr>
          <w:rFonts w:cs="David" w:ascii="David" w:hAnsi="David"/>
          <w:rtl w:val="true"/>
        </w:rPr>
        <w:t xml:space="preserve">, </w:t>
      </w:r>
      <w:r>
        <w:rPr>
          <w:rFonts w:ascii="David" w:hAnsi="David" w:cs="David"/>
          <w:rtl w:val="true"/>
        </w:rPr>
        <w:t>הוועדה המקומית הפיקה לדמרי שש שומות היטל השבחה</w:t>
      </w:r>
      <w:r>
        <w:rPr>
          <w:rFonts w:cs="David" w:ascii="David" w:hAnsi="David"/>
          <w:rtl w:val="true"/>
        </w:rPr>
        <w:t xml:space="preserve">, </w:t>
      </w:r>
      <w:r>
        <w:rPr>
          <w:rFonts w:ascii="David" w:hAnsi="David" w:cs="David"/>
          <w:rtl w:val="true"/>
        </w:rPr>
        <w:t xml:space="preserve">בהן העריכה את ההשבחה שחלה כתוצאה מהתוכנית בשיעור של </w:t>
      </w:r>
      <w:r>
        <w:rPr>
          <w:rFonts w:cs="David" w:ascii="David" w:hAnsi="David"/>
        </w:rPr>
        <w:t>187,559,939</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w:t>
      </w:r>
    </w:p>
    <w:p>
      <w:pPr>
        <w:sectPr>
          <w:headerReference w:type="default" r:id="rId7"/>
          <w:footerReference w:type="default" r:id="rId8"/>
          <w:type w:val="nextPage"/>
          <w:pgSz w:w="11906" w:h="16838"/>
          <w:pgMar w:left="1797" w:right="1797" w:gutter="0" w:header="720" w:top="1701" w:footer="510" w:bottom="1440"/>
          <w:pgNumType w:start="1" w:fmt="decimal"/>
          <w:formProt w:val="false"/>
          <w:textDirection w:val="lrTb"/>
          <w:bidi/>
          <w:rtlGutter/>
          <w:docGrid w:type="default" w:linePitch="360" w:charSpace="0"/>
        </w:sectPr>
        <w:pStyle w:val="Ruller43"/>
        <w:numPr>
          <w:ilvl w:val="0"/>
          <w:numId w:val="14"/>
        </w:numPr>
        <w:spacing w:before="240" w:after="240"/>
        <w:ind w:hanging="510" w:start="510" w:end="0"/>
        <w:jc w:val="both"/>
        <w:rPr>
          <w:rFonts w:ascii="David" w:hAnsi="David" w:cs="David"/>
          <w:color w:val="FFFFFF"/>
          <w:sz w:val="2"/>
          <w:szCs w:val="2"/>
        </w:rPr>
      </w:pPr>
      <w:r>
        <w:rPr>
          <w:rFonts w:cs="David" w:ascii="David" w:hAnsi="David"/>
          <w:color w:val="FFFFFF"/>
          <w:sz w:val="2"/>
          <w:szCs w:val="2"/>
        </w:rPr>
        <w:t>12-34-56-78</w:t>
      </w:r>
      <w:r>
        <w:rPr>
          <w:rFonts w:cs="David" w:ascii="David" w:hAnsi="David"/>
          <w:color w:val="FFFFFF"/>
          <w:sz w:val="2"/>
          <w:szCs w:val="2"/>
          <w:rtl w:val="true"/>
        </w:rPr>
        <w:t xml:space="preserve"> </w:t>
      </w:r>
      <w:r>
        <w:rPr>
          <w:rFonts w:ascii="David" w:hAnsi="David" w:cs="David"/>
          <w:color w:val="FFFFFF"/>
          <w:sz w:val="2"/>
          <w:sz w:val="2"/>
          <w:szCs w:val="2"/>
          <w:rtl w:val="true"/>
        </w:rPr>
        <w:t>צ</w:t>
      </w:r>
      <w:r>
        <w:rPr>
          <w:rFonts w:cs="David" w:ascii="David" w:hAnsi="David"/>
          <w:color w:val="FFFFFF"/>
          <w:sz w:val="2"/>
          <w:szCs w:val="2"/>
          <w:rtl w:val="true"/>
        </w:rPr>
        <w:t>'</w:t>
      </w:r>
      <w:r>
        <w:rPr>
          <w:rFonts w:ascii="David" w:hAnsi="David" w:cs="David"/>
          <w:color w:val="FFFFFF"/>
          <w:sz w:val="2"/>
          <w:sz w:val="2"/>
          <w:szCs w:val="2"/>
          <w:rtl w:val="true"/>
        </w:rPr>
        <w:t>כוב נ</w:t>
      </w:r>
      <w:r>
        <w:rPr>
          <w:rFonts w:cs="David" w:ascii="David" w:hAnsi="David"/>
          <w:color w:val="FFFFFF"/>
          <w:sz w:val="2"/>
          <w:szCs w:val="2"/>
          <w:rtl w:val="true"/>
        </w:rPr>
        <w:t xml:space="preserve">' </w:t>
      </w:r>
      <w:r>
        <w:rPr>
          <w:rFonts w:ascii="David" w:hAnsi="David" w:cs="David"/>
          <w:color w:val="FFFFFF"/>
          <w:sz w:val="2"/>
          <w:sz w:val="2"/>
          <w:szCs w:val="2"/>
          <w:rtl w:val="true"/>
        </w:rPr>
        <w:t>מדינת ישראל</w:t>
      </w:r>
      <w:r>
        <w:rPr>
          <w:rFonts w:cs="David" w:ascii="David" w:hAnsi="David"/>
          <w:color w:val="FFFFFF"/>
          <w:sz w:val="2"/>
          <w:szCs w:val="2"/>
          <w:rtl w:val="true"/>
        </w:rPr>
        <w:t xml:space="preserve">, </w:t>
      </w:r>
      <w:r>
        <w:rPr>
          <w:rFonts w:ascii="David" w:hAnsi="David" w:cs="David"/>
          <w:color w:val="FFFFFF"/>
          <w:sz w:val="2"/>
          <w:sz w:val="2"/>
          <w:szCs w:val="2"/>
          <w:rtl w:val="true"/>
        </w:rPr>
        <w:t>פ</w:t>
      </w:r>
      <w:r>
        <w:rPr>
          <w:rFonts w:cs="David" w:ascii="David" w:hAnsi="David"/>
          <w:color w:val="FFFFFF"/>
          <w:sz w:val="2"/>
          <w:szCs w:val="2"/>
          <w:rtl w:val="true"/>
        </w:rPr>
        <w:t>'</w:t>
      </w:r>
      <w:r>
        <w:rPr>
          <w:rFonts w:ascii="David" w:hAnsi="David" w:cs="David"/>
          <w:color w:val="FFFFFF"/>
          <w:sz w:val="2"/>
          <w:sz w:val="2"/>
          <w:szCs w:val="2"/>
          <w:rtl w:val="true"/>
        </w:rPr>
        <w:t xml:space="preserve">ד נא </w:t>
      </w:r>
      <w:r>
        <w:rPr>
          <w:rFonts w:cs="David" w:ascii="David" w:hAnsi="David"/>
          <w:color w:val="FFFFFF"/>
          <w:sz w:val="2"/>
          <w:szCs w:val="2"/>
          <w:rtl w:val="true"/>
        </w:rPr>
        <w:t>(</w:t>
      </w:r>
      <w:r>
        <w:rPr>
          <w:rFonts w:cs="David" w:ascii="David" w:hAnsi="David"/>
          <w:color w:val="FFFFFF"/>
          <w:sz w:val="2"/>
          <w:szCs w:val="2"/>
        </w:rPr>
        <w:t>2</w:t>
      </w:r>
      <w:r>
        <w:rPr>
          <w:rFonts w:cs="David" w:ascii="David" w:hAnsi="David"/>
          <w:color w:val="FFFFFF"/>
          <w:sz w:val="2"/>
          <w:szCs w:val="2"/>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נוסף על כך</w:t>
      </w:r>
      <w:r>
        <w:rPr>
          <w:rFonts w:cs="David" w:ascii="David" w:hAnsi="David"/>
          <w:rtl w:val="true"/>
        </w:rPr>
        <w:t xml:space="preserve">, </w:t>
      </w:r>
      <w:r>
        <w:rPr>
          <w:rFonts w:ascii="David" w:hAnsi="David" w:cs="David"/>
          <w:rtl w:val="true"/>
        </w:rPr>
        <w:t xml:space="preserve">הוועדה המקומית הפיקה שתי שומות השבחה נוספות בהן נבחנה ההשבחה שחלה בחלקות </w:t>
      </w:r>
      <w:r>
        <w:rPr>
          <w:rFonts w:cs="David" w:ascii="David" w:hAnsi="David"/>
        </w:rPr>
        <w:t>26</w:t>
      </w:r>
      <w:r>
        <w:rPr>
          <w:rFonts w:cs="David" w:ascii="David" w:hAnsi="David"/>
          <w:rtl w:val="true"/>
        </w:rPr>
        <w:t xml:space="preserve"> </w:t>
      </w:r>
      <w:r>
        <w:rPr>
          <w:rFonts w:ascii="David" w:hAnsi="David" w:cs="David"/>
          <w:rtl w:val="true"/>
        </w:rPr>
        <w:t>ו</w:t>
      </w:r>
      <w:r>
        <w:rPr>
          <w:rFonts w:cs="David" w:ascii="David" w:hAnsi="David"/>
          <w:rtl w:val="true"/>
        </w:rPr>
        <w:t>-</w:t>
      </w:r>
      <w:r>
        <w:rPr>
          <w:rFonts w:cs="David" w:ascii="David" w:hAnsi="David"/>
        </w:rPr>
        <w:t>28</w:t>
      </w:r>
      <w:r>
        <w:rPr>
          <w:rFonts w:cs="David" w:ascii="David" w:hAnsi="David"/>
          <w:rtl w:val="true"/>
        </w:rPr>
        <w:t xml:space="preserve"> </w:t>
      </w:r>
      <w:r>
        <w:rPr>
          <w:rFonts w:ascii="David" w:hAnsi="David" w:cs="David"/>
          <w:rtl w:val="true"/>
        </w:rPr>
        <w:t>בהן כאמור נערכו עסקאות מכר</w:t>
      </w:r>
      <w:r>
        <w:rPr>
          <w:rFonts w:cs="David" w:ascii="David" w:hAnsi="David"/>
          <w:rtl w:val="true"/>
        </w:rPr>
        <w:t xml:space="preserve">. </w:t>
      </w:r>
      <w:r>
        <w:rPr>
          <w:rFonts w:ascii="David" w:hAnsi="David" w:cs="David"/>
          <w:rtl w:val="true"/>
        </w:rPr>
        <w:t>בהתאם לשומות אלה</w:t>
      </w:r>
      <w:r>
        <w:rPr>
          <w:rFonts w:cs="David" w:ascii="David" w:hAnsi="David"/>
          <w:rtl w:val="true"/>
        </w:rPr>
        <w:t xml:space="preserve">, </w:t>
      </w:r>
      <w:r>
        <w:rPr>
          <w:rFonts w:ascii="David" w:hAnsi="David" w:cs="David"/>
          <w:rtl w:val="true"/>
        </w:rPr>
        <w:t>ההשבחה שחלה בדירה הידועה כתת</w:t>
      </w:r>
      <w:r>
        <w:rPr>
          <w:rFonts w:cs="David" w:ascii="David" w:hAnsi="David"/>
          <w:rtl w:val="true"/>
        </w:rPr>
        <w:t>-</w:t>
      </w:r>
      <w:r>
        <w:rPr>
          <w:rFonts w:ascii="David" w:hAnsi="David" w:cs="David"/>
          <w:rtl w:val="true"/>
        </w:rPr>
        <w:t xml:space="preserve">חלקה </w:t>
      </w:r>
      <w:r>
        <w:rPr>
          <w:rFonts w:cs="David" w:ascii="David" w:hAnsi="David"/>
        </w:rPr>
        <w:t>6</w:t>
      </w:r>
      <w:r>
        <w:rPr>
          <w:rFonts w:cs="David" w:ascii="David" w:hAnsi="David"/>
          <w:rtl w:val="true"/>
        </w:rPr>
        <w:t xml:space="preserve"> </w:t>
      </w:r>
      <w:r>
        <w:rPr>
          <w:rFonts w:ascii="David" w:hAnsi="David" w:cs="David"/>
          <w:rtl w:val="true"/>
        </w:rPr>
        <w:t xml:space="preserve">הוערכה בשיעור של </w:t>
      </w:r>
      <w:r>
        <w:rPr>
          <w:rFonts w:cs="David" w:ascii="David" w:hAnsi="David"/>
        </w:rPr>
        <w:t>1,161,938</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וההשבחה שחלה בדירה הידועה כתת</w:t>
      </w:r>
      <w:r>
        <w:rPr>
          <w:rFonts w:cs="David" w:ascii="David" w:hAnsi="David"/>
          <w:rtl w:val="true"/>
        </w:rPr>
        <w:t>-</w:t>
      </w:r>
      <w:r>
        <w:rPr>
          <w:rFonts w:ascii="David" w:hAnsi="David" w:cs="David"/>
          <w:rtl w:val="true"/>
        </w:rPr>
        <w:t xml:space="preserve">חלקה </w:t>
      </w:r>
      <w:r>
        <w:rPr>
          <w:rFonts w:cs="David" w:ascii="David" w:hAnsi="David"/>
        </w:rPr>
        <w:t>14</w:t>
      </w:r>
      <w:r>
        <w:rPr>
          <w:rFonts w:cs="David" w:ascii="David" w:hAnsi="David"/>
          <w:rtl w:val="true"/>
        </w:rPr>
        <w:t xml:space="preserve"> </w:t>
      </w:r>
      <w:r>
        <w:rPr>
          <w:rFonts w:ascii="David" w:hAnsi="David" w:cs="David"/>
          <w:rtl w:val="true"/>
        </w:rPr>
        <w:t xml:space="preserve">הוערכה בשיעור של </w:t>
      </w:r>
      <w:r>
        <w:rPr>
          <w:rFonts w:cs="David" w:ascii="David" w:hAnsi="David"/>
        </w:rPr>
        <w:t>2,156,734</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דמרי ביקשה להשיג על כלל השומות האמורות ובהתאם לשומה נגדית מטעמה טענה כי התוכנית אינה משביחה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color w:val="FFFFFF"/>
          <w:sz w:val="2"/>
          <w:sz w:val="2"/>
          <w:szCs w:val="2"/>
          <w:rtl w:val="true"/>
        </w:rPr>
        <w:t>הועתק מנבו</w:t>
      </w:r>
      <w:r>
        <w:rPr>
          <w:rFonts w:ascii="David" w:hAnsi="David" w:cs="David"/>
          <w:rtl w:val="true"/>
        </w:rPr>
        <w:t>טענותיה של דמרי התבררו בשש השומות המכריעות שלפנינו</w:t>
      </w:r>
      <w:r>
        <w:rPr>
          <w:rFonts w:cs="David" w:ascii="David" w:hAnsi="David"/>
          <w:rtl w:val="true"/>
        </w:rPr>
        <w:t xml:space="preserve">, </w:t>
      </w:r>
      <w:r>
        <w:rPr>
          <w:rFonts w:ascii="David" w:hAnsi="David" w:cs="David"/>
          <w:rtl w:val="true"/>
        </w:rPr>
        <w:t>לפיהן נקבע כי התוכנית השביחה את המתחם בערכים המפורטים כלהלן</w:t>
      </w:r>
      <w:r>
        <w:rPr>
          <w:rFonts w:cs="David" w:ascii="David" w:hAnsi="David"/>
          <w:rtl w:val="true"/>
        </w:rPr>
        <w:t>:</w:t>
      </w:r>
    </w:p>
    <w:tbl>
      <w:tblPr>
        <w:bidiVisual w:val="true"/>
        <w:tblW w:w="7795" w:type="dxa"/>
        <w:jc w:val="start"/>
        <w:tblInd w:w="107" w:type="dxa"/>
        <w:tblLayout w:type="fixed"/>
        <w:tblCellMar>
          <w:top w:w="0" w:type="dxa"/>
          <w:start w:w="108" w:type="dxa"/>
          <w:bottom w:w="0" w:type="dxa"/>
          <w:end w:w="108" w:type="dxa"/>
        </w:tblCellMar>
      </w:tblPr>
      <w:tblGrid>
        <w:gridCol w:w="1983"/>
        <w:gridCol w:w="2468"/>
        <w:gridCol w:w="1643"/>
        <w:gridCol w:w="1701"/>
      </w:tblGrid>
      <w:tr>
        <w:trPr/>
        <w:tc>
          <w:tcPr>
            <w:tcW w:w="1983"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Miriam" w:hAnsi="Miriam" w:cs="Miriam"/>
              </w:rPr>
            </w:pPr>
            <w:r>
              <w:rPr>
                <w:rFonts w:ascii="Miriam" w:hAnsi="Miriam" w:cs="Miriam"/>
                <w:rtl w:val="true"/>
              </w:rPr>
              <w:t>חלקה</w:t>
            </w:r>
          </w:p>
        </w:tc>
        <w:tc>
          <w:tcPr>
            <w:tcW w:w="2468"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Miriam" w:hAnsi="Miriam" w:cs="Miriam"/>
              </w:rPr>
            </w:pPr>
            <w:r>
              <w:rPr>
                <w:rFonts w:ascii="Miriam" w:hAnsi="Miriam" w:cs="Miriam"/>
                <w:rtl w:val="true"/>
              </w:rPr>
              <w:t>השבחה</w:t>
            </w:r>
          </w:p>
        </w:tc>
        <w:tc>
          <w:tcPr>
            <w:tcW w:w="1643" w:type="dxa"/>
            <w:tcBorders>
              <w:top w:val="single" w:sz="4" w:space="0" w:color="000000"/>
              <w:start w:val="single" w:sz="4" w:space="0" w:color="000000"/>
              <w:bottom w:val="single" w:sz="4" w:space="0" w:color="000000"/>
              <w:end w:val="single" w:sz="4" w:space="0" w:color="000000"/>
            </w:tcBorders>
          </w:tcPr>
          <w:p>
            <w:pPr>
              <w:pStyle w:val="Ruller43"/>
              <w:spacing w:lineRule="auto" w:line="276" w:before="120" w:after="120"/>
              <w:ind w:end="0"/>
              <w:jc w:val="center"/>
              <w:rPr>
                <w:rFonts w:ascii="Miriam" w:hAnsi="Miriam" w:cs="Miriam"/>
              </w:rPr>
            </w:pPr>
            <w:r>
              <w:rPr>
                <w:rFonts w:ascii="Miriam" w:hAnsi="Miriam" w:cs="Miriam"/>
                <w:rtl w:val="true"/>
              </w:rPr>
              <w:t>תת חלקה</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Miriam" w:hAnsi="Miriam" w:cs="Miriam"/>
              </w:rPr>
            </w:pPr>
            <w:r>
              <w:rPr>
                <w:rFonts w:ascii="Miriam" w:hAnsi="Miriam" w:cs="Miriam"/>
                <w:rtl w:val="true"/>
              </w:rPr>
              <w:t>השבחה</w:t>
            </w:r>
          </w:p>
        </w:tc>
      </w:tr>
      <w:tr>
        <w:trPr/>
        <w:tc>
          <w:tcPr>
            <w:tcW w:w="1983"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25</w:t>
            </w:r>
          </w:p>
        </w:tc>
        <w:tc>
          <w:tcPr>
            <w:tcW w:w="2468"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8,316,483</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p>
        </w:tc>
        <w:tc>
          <w:tcPr>
            <w:tcW w:w="1643" w:type="dxa"/>
            <w:tcBorders>
              <w:top w:val="single" w:sz="4" w:space="0" w:color="000000"/>
              <w:start w:val="single" w:sz="4" w:space="0" w:color="000000"/>
              <w:bottom w:val="single" w:sz="4" w:space="0" w:color="000000"/>
              <w:end w:val="single" w:sz="4" w:space="0" w:color="000000"/>
            </w:tcBorders>
          </w:tcPr>
          <w:p>
            <w:pPr>
              <w:pStyle w:val="Ruller43"/>
              <w:snapToGrid w:val="false"/>
              <w:spacing w:lineRule="auto" w:line="276" w:before="120" w:after="120"/>
              <w:ind w:end="0"/>
              <w:jc w:val="center"/>
              <w:rPr>
                <w:rFonts w:ascii="David" w:hAnsi="David" w:cs="David"/>
              </w:rPr>
            </w:pPr>
            <w:r>
              <w:rPr>
                <w:rFonts w:cs="David" w:ascii="David" w:hAnsi="David"/>
                <w:rtl w:val="true"/>
              </w:rPr>
            </w:r>
          </w:p>
        </w:tc>
        <w:tc>
          <w:tcPr>
            <w:tcW w:w="1701" w:type="dxa"/>
            <w:tcBorders>
              <w:top w:val="single" w:sz="4" w:space="0" w:color="000000"/>
              <w:start w:val="single" w:sz="4" w:space="0" w:color="000000"/>
              <w:bottom w:val="single" w:sz="4" w:space="0" w:color="000000"/>
              <w:end w:val="single" w:sz="4" w:space="0" w:color="000000"/>
            </w:tcBorders>
          </w:tcPr>
          <w:p>
            <w:pPr>
              <w:pStyle w:val="Ruller43"/>
              <w:snapToGrid w:val="false"/>
              <w:spacing w:lineRule="auto" w:line="276" w:before="120" w:after="120"/>
              <w:ind w:end="0"/>
              <w:jc w:val="center"/>
              <w:rPr>
                <w:rFonts w:ascii="David" w:hAnsi="David" w:cs="David"/>
              </w:rPr>
            </w:pPr>
            <w:r>
              <w:rPr>
                <w:rFonts w:cs="David" w:ascii="David" w:hAnsi="David"/>
                <w:rtl w:val="true"/>
              </w:rPr>
            </w:r>
          </w:p>
        </w:tc>
      </w:tr>
      <w:tr>
        <w:trPr/>
        <w:tc>
          <w:tcPr>
            <w:tcW w:w="1983"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26</w:t>
            </w:r>
          </w:p>
        </w:tc>
        <w:tc>
          <w:tcPr>
            <w:tcW w:w="2468"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15,604,202</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p>
        </w:tc>
        <w:tc>
          <w:tcPr>
            <w:tcW w:w="1643" w:type="dxa"/>
            <w:tcBorders>
              <w:top w:val="single" w:sz="4" w:space="0" w:color="000000"/>
              <w:start w:val="single" w:sz="4" w:space="0" w:color="000000"/>
              <w:bottom w:val="single" w:sz="4" w:space="0" w:color="000000"/>
              <w:end w:val="single" w:sz="4" w:space="0" w:color="000000"/>
            </w:tcBorders>
          </w:tcPr>
          <w:p>
            <w:pPr>
              <w:pStyle w:val="Ruller43"/>
              <w:spacing w:lineRule="auto" w:line="276" w:before="120" w:after="120"/>
              <w:ind w:end="0"/>
              <w:jc w:val="center"/>
              <w:rPr>
                <w:rFonts w:ascii="David" w:hAnsi="David" w:cs="David"/>
              </w:rPr>
            </w:pPr>
            <w:r>
              <w:rPr>
                <w:rFonts w:cs="David" w:ascii="David" w:hAnsi="David"/>
              </w:rPr>
              <w:t>14</w:t>
            </w:r>
          </w:p>
        </w:tc>
        <w:tc>
          <w:tcPr>
            <w:tcW w:w="1701" w:type="dxa"/>
            <w:tcBorders>
              <w:top w:val="single" w:sz="4" w:space="0" w:color="000000"/>
              <w:start w:val="single" w:sz="4" w:space="0" w:color="000000"/>
              <w:bottom w:val="single" w:sz="4" w:space="0" w:color="000000"/>
              <w:end w:val="single" w:sz="4" w:space="0" w:color="000000"/>
            </w:tcBorders>
          </w:tcPr>
          <w:p>
            <w:pPr>
              <w:pStyle w:val="Ruller43"/>
              <w:spacing w:lineRule="auto" w:line="276" w:before="120" w:after="120"/>
              <w:ind w:end="0"/>
              <w:jc w:val="center"/>
              <w:rPr>
                <w:rFonts w:ascii="David" w:hAnsi="David" w:cs="David"/>
              </w:rPr>
            </w:pPr>
            <w:r>
              <w:rPr>
                <w:rFonts w:cs="David" w:ascii="David" w:hAnsi="David"/>
              </w:rPr>
              <w:t>769,047</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p>
        </w:tc>
      </w:tr>
      <w:tr>
        <w:trPr/>
        <w:tc>
          <w:tcPr>
            <w:tcW w:w="1983"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27</w:t>
            </w:r>
          </w:p>
        </w:tc>
        <w:tc>
          <w:tcPr>
            <w:tcW w:w="2468"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4,427,868</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p>
        </w:tc>
        <w:tc>
          <w:tcPr>
            <w:tcW w:w="1643" w:type="dxa"/>
            <w:tcBorders>
              <w:top w:val="single" w:sz="4" w:space="0" w:color="000000"/>
              <w:start w:val="single" w:sz="4" w:space="0" w:color="000000"/>
              <w:bottom w:val="single" w:sz="4" w:space="0" w:color="000000"/>
              <w:end w:val="single" w:sz="4" w:space="0" w:color="000000"/>
            </w:tcBorders>
          </w:tcPr>
          <w:p>
            <w:pPr>
              <w:pStyle w:val="Ruller43"/>
              <w:snapToGrid w:val="false"/>
              <w:spacing w:lineRule="auto" w:line="276" w:before="120" w:after="120"/>
              <w:ind w:end="0"/>
              <w:jc w:val="center"/>
              <w:rPr>
                <w:rFonts w:ascii="David" w:hAnsi="David" w:cs="David"/>
              </w:rPr>
            </w:pPr>
            <w:r>
              <w:rPr>
                <w:rFonts w:cs="David" w:ascii="David" w:hAnsi="David"/>
                <w:rtl w:val="true"/>
              </w:rPr>
            </w:r>
          </w:p>
        </w:tc>
        <w:tc>
          <w:tcPr>
            <w:tcW w:w="1701" w:type="dxa"/>
            <w:tcBorders>
              <w:top w:val="single" w:sz="4" w:space="0" w:color="000000"/>
              <w:start w:val="single" w:sz="4" w:space="0" w:color="000000"/>
              <w:bottom w:val="single" w:sz="4" w:space="0" w:color="000000"/>
              <w:end w:val="single" w:sz="4" w:space="0" w:color="000000"/>
            </w:tcBorders>
          </w:tcPr>
          <w:p>
            <w:pPr>
              <w:pStyle w:val="Ruller43"/>
              <w:snapToGrid w:val="false"/>
              <w:spacing w:lineRule="auto" w:line="276" w:before="120" w:after="120"/>
              <w:ind w:end="0"/>
              <w:jc w:val="center"/>
              <w:rPr>
                <w:rFonts w:ascii="David" w:hAnsi="David" w:cs="David"/>
              </w:rPr>
            </w:pPr>
            <w:r>
              <w:rPr>
                <w:rFonts w:cs="David" w:ascii="David" w:hAnsi="David"/>
                <w:rtl w:val="true"/>
              </w:rPr>
            </w:r>
          </w:p>
        </w:tc>
      </w:tr>
      <w:tr>
        <w:trPr/>
        <w:tc>
          <w:tcPr>
            <w:tcW w:w="1983"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28</w:t>
            </w:r>
          </w:p>
        </w:tc>
        <w:tc>
          <w:tcPr>
            <w:tcW w:w="2468"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4,662,876</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p>
        </w:tc>
        <w:tc>
          <w:tcPr>
            <w:tcW w:w="1643" w:type="dxa"/>
            <w:tcBorders>
              <w:top w:val="single" w:sz="4" w:space="0" w:color="000000"/>
              <w:start w:val="single" w:sz="4" w:space="0" w:color="000000"/>
              <w:bottom w:val="single" w:sz="4" w:space="0" w:color="000000"/>
              <w:end w:val="single" w:sz="4" w:space="0" w:color="000000"/>
            </w:tcBorders>
          </w:tcPr>
          <w:p>
            <w:pPr>
              <w:pStyle w:val="Ruller43"/>
              <w:spacing w:lineRule="auto" w:line="276" w:before="120" w:after="120"/>
              <w:ind w:end="0"/>
              <w:jc w:val="center"/>
              <w:rPr>
                <w:rFonts w:ascii="David" w:hAnsi="David" w:cs="David"/>
              </w:rPr>
            </w:pPr>
            <w:r>
              <w:rPr>
                <w:rFonts w:cs="David" w:ascii="David" w:hAnsi="David"/>
              </w:rPr>
              <w:t>6</w:t>
            </w:r>
          </w:p>
        </w:tc>
        <w:tc>
          <w:tcPr>
            <w:tcW w:w="1701" w:type="dxa"/>
            <w:tcBorders>
              <w:top w:val="single" w:sz="4" w:space="0" w:color="000000"/>
              <w:start w:val="single" w:sz="4" w:space="0" w:color="000000"/>
              <w:bottom w:val="single" w:sz="4" w:space="0" w:color="000000"/>
              <w:end w:val="single" w:sz="4" w:space="0" w:color="000000"/>
            </w:tcBorders>
          </w:tcPr>
          <w:p>
            <w:pPr>
              <w:pStyle w:val="Ruller43"/>
              <w:spacing w:lineRule="auto" w:line="276" w:before="120" w:after="120"/>
              <w:ind w:end="0"/>
              <w:jc w:val="center"/>
              <w:rPr>
                <w:rFonts w:ascii="David" w:hAnsi="David" w:cs="David"/>
              </w:rPr>
            </w:pPr>
            <w:r>
              <w:rPr>
                <w:rFonts w:cs="David" w:ascii="David" w:hAnsi="David"/>
              </w:rPr>
              <w:t>272,056</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p>
        </w:tc>
      </w:tr>
      <w:tr>
        <w:trPr/>
        <w:tc>
          <w:tcPr>
            <w:tcW w:w="1983"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29</w:t>
            </w:r>
          </w:p>
        </w:tc>
        <w:tc>
          <w:tcPr>
            <w:tcW w:w="2468"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4,629,591</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p>
        </w:tc>
        <w:tc>
          <w:tcPr>
            <w:tcW w:w="1643" w:type="dxa"/>
            <w:tcBorders>
              <w:top w:val="single" w:sz="4" w:space="0" w:color="000000"/>
              <w:start w:val="single" w:sz="4" w:space="0" w:color="000000"/>
              <w:bottom w:val="single" w:sz="4" w:space="0" w:color="000000"/>
              <w:end w:val="single" w:sz="4" w:space="0" w:color="000000"/>
            </w:tcBorders>
          </w:tcPr>
          <w:p>
            <w:pPr>
              <w:pStyle w:val="Ruller43"/>
              <w:snapToGrid w:val="false"/>
              <w:spacing w:lineRule="auto" w:line="276" w:before="120" w:after="120"/>
              <w:ind w:end="0"/>
              <w:jc w:val="center"/>
              <w:rPr>
                <w:rFonts w:ascii="David" w:hAnsi="David" w:cs="David"/>
              </w:rPr>
            </w:pPr>
            <w:r>
              <w:rPr>
                <w:rFonts w:cs="David" w:ascii="David" w:hAnsi="David"/>
                <w:rtl w:val="true"/>
              </w:rPr>
            </w:r>
          </w:p>
        </w:tc>
        <w:tc>
          <w:tcPr>
            <w:tcW w:w="1701" w:type="dxa"/>
            <w:tcBorders>
              <w:top w:val="single" w:sz="4" w:space="0" w:color="000000"/>
              <w:start w:val="single" w:sz="4" w:space="0" w:color="000000"/>
              <w:bottom w:val="single" w:sz="4" w:space="0" w:color="000000"/>
              <w:end w:val="single" w:sz="4" w:space="0" w:color="000000"/>
            </w:tcBorders>
          </w:tcPr>
          <w:p>
            <w:pPr>
              <w:pStyle w:val="Ruller43"/>
              <w:snapToGrid w:val="false"/>
              <w:spacing w:lineRule="auto" w:line="276" w:before="120" w:after="120"/>
              <w:ind w:end="0"/>
              <w:jc w:val="center"/>
              <w:rPr>
                <w:rFonts w:ascii="David" w:hAnsi="David" w:cs="David"/>
              </w:rPr>
            </w:pPr>
            <w:r>
              <w:rPr>
                <w:rFonts w:cs="David" w:ascii="David" w:hAnsi="David"/>
                <w:rtl w:val="true"/>
              </w:rPr>
            </w:r>
          </w:p>
        </w:tc>
      </w:tr>
      <w:tr>
        <w:trPr/>
        <w:tc>
          <w:tcPr>
            <w:tcW w:w="1983"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30</w:t>
            </w:r>
          </w:p>
        </w:tc>
        <w:tc>
          <w:tcPr>
            <w:tcW w:w="2468" w:type="dxa"/>
            <w:tcBorders>
              <w:top w:val="single" w:sz="4" w:space="0" w:color="000000"/>
              <w:start w:val="single" w:sz="4" w:space="0" w:color="000000"/>
              <w:bottom w:val="single" w:sz="4" w:space="0" w:color="000000"/>
              <w:end w:val="single" w:sz="4" w:space="0" w:color="000000"/>
            </w:tcBorders>
            <w:vAlign w:val="center"/>
          </w:tcPr>
          <w:p>
            <w:pPr>
              <w:pStyle w:val="Ruller43"/>
              <w:spacing w:lineRule="auto" w:line="276" w:before="120" w:after="120"/>
              <w:ind w:end="0"/>
              <w:jc w:val="center"/>
              <w:rPr>
                <w:rFonts w:ascii="David" w:hAnsi="David" w:cs="David"/>
              </w:rPr>
            </w:pPr>
            <w:r>
              <w:rPr>
                <w:rFonts w:cs="David" w:ascii="David" w:hAnsi="David"/>
              </w:rPr>
              <w:t>2,573,456</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p>
        </w:tc>
        <w:tc>
          <w:tcPr>
            <w:tcW w:w="1643" w:type="dxa"/>
            <w:tcBorders>
              <w:top w:val="single" w:sz="4" w:space="0" w:color="000000"/>
              <w:start w:val="single" w:sz="4" w:space="0" w:color="000000"/>
              <w:bottom w:val="single" w:sz="4" w:space="0" w:color="000000"/>
              <w:end w:val="single" w:sz="4" w:space="0" w:color="000000"/>
            </w:tcBorders>
          </w:tcPr>
          <w:p>
            <w:pPr>
              <w:pStyle w:val="Ruller43"/>
              <w:snapToGrid w:val="false"/>
              <w:spacing w:lineRule="auto" w:line="276" w:before="120" w:after="120"/>
              <w:ind w:end="0"/>
              <w:jc w:val="center"/>
              <w:rPr>
                <w:rFonts w:ascii="David" w:hAnsi="David" w:cs="David"/>
              </w:rPr>
            </w:pPr>
            <w:r>
              <w:rPr>
                <w:rFonts w:cs="David" w:ascii="David" w:hAnsi="David"/>
                <w:rtl w:val="true"/>
              </w:rPr>
            </w:r>
          </w:p>
        </w:tc>
        <w:tc>
          <w:tcPr>
            <w:tcW w:w="1701" w:type="dxa"/>
            <w:tcBorders>
              <w:top w:val="single" w:sz="4" w:space="0" w:color="000000"/>
              <w:start w:val="single" w:sz="4" w:space="0" w:color="000000"/>
              <w:bottom w:val="single" w:sz="4" w:space="0" w:color="000000"/>
              <w:end w:val="single" w:sz="4" w:space="0" w:color="000000"/>
            </w:tcBorders>
          </w:tcPr>
          <w:p>
            <w:pPr>
              <w:pStyle w:val="Ruller43"/>
              <w:snapToGrid w:val="false"/>
              <w:spacing w:lineRule="auto" w:line="276" w:before="120" w:after="120"/>
              <w:ind w:end="0"/>
              <w:jc w:val="center"/>
              <w:rPr>
                <w:rFonts w:ascii="David" w:hAnsi="David" w:cs="David"/>
              </w:rPr>
            </w:pPr>
            <w:r>
              <w:rPr>
                <w:rFonts w:cs="David" w:ascii="David" w:hAnsi="David"/>
                <w:rtl w:val="true"/>
              </w:rPr>
            </w:r>
          </w:p>
        </w:tc>
      </w:tr>
    </w:tbl>
    <w:p>
      <w:pPr>
        <w:pStyle w:val="Ruller43"/>
        <w:numPr>
          <w:ilvl w:val="0"/>
          <w:numId w:val="14"/>
        </w:numPr>
        <w:spacing w:before="240" w:after="240"/>
        <w:ind w:hanging="510" w:start="510" w:end="0"/>
        <w:jc w:val="both"/>
        <w:rPr>
          <w:rFonts w:ascii="David" w:hAnsi="David" w:cs="David"/>
        </w:rPr>
      </w:pPr>
      <w:r>
        <w:rPr>
          <w:rFonts w:ascii="David" w:hAnsi="David" w:cs="David"/>
          <w:rtl w:val="true"/>
        </w:rPr>
        <w:t>בהתאם לערכים אלה</w:t>
      </w:r>
      <w:r>
        <w:rPr>
          <w:rFonts w:cs="David" w:ascii="David" w:hAnsi="David"/>
          <w:rtl w:val="true"/>
        </w:rPr>
        <w:t xml:space="preserve">, </w:t>
      </w:r>
      <w:r>
        <w:rPr>
          <w:rFonts w:ascii="David" w:hAnsi="David" w:cs="David"/>
          <w:rtl w:val="true"/>
        </w:rPr>
        <w:t xml:space="preserve">סכום ההשבחה המצרפית לכלל החלקות הוא </w:t>
      </w:r>
      <w:r>
        <w:rPr>
          <w:rFonts w:cs="David" w:ascii="David" w:hAnsi="David"/>
        </w:rPr>
        <w:t>40,214,476</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השומות המכריעות כוללת תחשיב חלופי שבו הוחרגו זכויות בנייה שהוקנו בתוכנית לצורך הקמתם של מרחבים מוגנים</w:t>
      </w:r>
      <w:r>
        <w:rPr>
          <w:rFonts w:cs="David" w:ascii="David" w:hAnsi="David"/>
          <w:rtl w:val="true"/>
        </w:rPr>
        <w:t xml:space="preserve">, </w:t>
      </w:r>
      <w:r>
        <w:rPr>
          <w:rFonts w:ascii="David" w:hAnsi="David" w:cs="David"/>
          <w:rtl w:val="true"/>
        </w:rPr>
        <w:t xml:space="preserve">וזאת בהתאם להוראות </w:t>
      </w:r>
      <w:hyperlink r:id="rId9">
        <w:r>
          <w:rPr>
            <w:rStyle w:val="Hyperlink"/>
            <w:rFonts w:ascii="David" w:hAnsi="David" w:cs="David"/>
            <w:rtl w:val="true"/>
          </w:rPr>
          <w:t xml:space="preserve">סעיף </w:t>
        </w:r>
        <w:r>
          <w:rPr>
            <w:rStyle w:val="Hyperlink"/>
            <w:rFonts w:cs="David" w:ascii="David" w:hAnsi="David"/>
          </w:rPr>
          <w:t>19</w:t>
        </w:r>
        <w:r>
          <w:rPr>
            <w:rStyle w:val="Hyperlink"/>
            <w:rFonts w:cs="David" w:ascii="David" w:hAnsi="David"/>
            <w:rtl w:val="true"/>
          </w:rPr>
          <w:t>(</w:t>
        </w:r>
        <w:r>
          <w:rPr>
            <w:rStyle w:val="Hyperlink"/>
            <w:rFonts w:ascii="David" w:hAnsi="David" w:cs="David"/>
            <w:rtl w:val="true"/>
          </w:rPr>
          <w:t>ב</w:t>
        </w:r>
        <w:r>
          <w:rPr>
            <w:rStyle w:val="Hyperlink"/>
            <w:rFonts w:cs="David" w:ascii="David" w:hAnsi="David"/>
            <w:rtl w:val="true"/>
          </w:rPr>
          <w:t>)(</w:t>
        </w:r>
        <w:r>
          <w:rPr>
            <w:rStyle w:val="Hyperlink"/>
            <w:rFonts w:cs="David" w:ascii="David" w:hAnsi="David"/>
          </w:rPr>
          <w:t>9</w:t>
        </w:r>
        <w:r>
          <w:rPr>
            <w:rStyle w:val="Hyperlink"/>
            <w:rFonts w:cs="David" w:ascii="David" w:hAnsi="David"/>
            <w:rtl w:val="true"/>
          </w:rPr>
          <w:t>)</w:t>
        </w:r>
      </w:hyperlink>
      <w:r>
        <w:rPr>
          <w:rFonts w:cs="David" w:ascii="David" w:hAnsi="David"/>
          <w:rtl w:val="true"/>
        </w:rPr>
        <w:t xml:space="preserve"> </w:t>
      </w:r>
      <w:r>
        <w:rPr>
          <w:rFonts w:ascii="David" w:hAnsi="David" w:cs="David"/>
          <w:rtl w:val="true"/>
        </w:rPr>
        <w:t>לתוספת השלישית ל</w:t>
      </w:r>
      <w:hyperlink r:id="rId10">
        <w:r>
          <w:rPr>
            <w:rStyle w:val="Hyperlink"/>
            <w:rFonts w:ascii="David" w:hAnsi="David" w:cs="David"/>
            <w:color w:val="0000FF"/>
            <w:u w:val="single"/>
            <w:rtl w:val="true"/>
          </w:rPr>
          <w:t>חוק התכנון והבנייה</w:t>
        </w:r>
      </w:hyperlink>
      <w:r>
        <w:rPr>
          <w:rFonts w:ascii="David" w:hAnsi="David" w:cs="David"/>
          <w:rtl w:val="true"/>
        </w:rPr>
        <w:t xml:space="preserve"> </w:t>
      </w:r>
      <w:r>
        <w:rPr>
          <w:rFonts w:cs="David" w:ascii="David" w:hAnsi="David"/>
          <w:rtl w:val="true"/>
        </w:rPr>
        <w:t>(</w:t>
      </w:r>
      <w:r>
        <w:rPr>
          <w:rFonts w:ascii="David" w:hAnsi="David" w:cs="David"/>
          <w:rtl w:val="true"/>
        </w:rPr>
        <w:t>להלן</w:t>
      </w:r>
      <w:r>
        <w:rPr>
          <w:rFonts w:cs="David" w:ascii="David" w:hAnsi="David"/>
          <w:rtl w:val="true"/>
        </w:rPr>
        <w:t>: "</w:t>
      </w:r>
      <w:r>
        <w:rPr>
          <w:rFonts w:ascii="Miriam" w:hAnsi="Miriam" w:cs="Miriam"/>
          <w:rtl w:val="true"/>
        </w:rPr>
        <w:t>סעיף הפטור</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בהתאם לחלופה זו</w:t>
      </w:r>
      <w:r>
        <w:rPr>
          <w:rFonts w:cs="David" w:ascii="David" w:hAnsi="David"/>
          <w:rtl w:val="true"/>
        </w:rPr>
        <w:t xml:space="preserve">, </w:t>
      </w:r>
      <w:r>
        <w:rPr>
          <w:rFonts w:ascii="David" w:hAnsi="David" w:cs="David"/>
          <w:rtl w:val="true"/>
        </w:rPr>
        <w:t xml:space="preserve">סכום ההשבחה המצרפית לכלל החלקות הוא </w:t>
      </w:r>
      <w:r>
        <w:rPr>
          <w:rFonts w:cs="David" w:ascii="David" w:hAnsi="David"/>
        </w:rPr>
        <w:t>20,900,650</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הצדדים מבקשים להשיג על השומות המכריעות</w:t>
      </w:r>
      <w:r>
        <w:rPr>
          <w:rFonts w:cs="David" w:ascii="David" w:hAnsi="David"/>
          <w:rtl w:val="true"/>
        </w:rPr>
        <w:t xml:space="preserve">, </w:t>
      </w:r>
      <w:r>
        <w:rPr>
          <w:rFonts w:ascii="David" w:hAnsi="David" w:cs="David"/>
          <w:rtl w:val="true"/>
        </w:rPr>
        <w:t>כל אחד מטעמיו הוא</w:t>
      </w:r>
      <w:r>
        <w:rPr>
          <w:rFonts w:cs="David" w:ascii="David" w:hAnsi="David"/>
          <w:rtl w:val="true"/>
        </w:rPr>
        <w:t xml:space="preserve">, </w:t>
      </w:r>
      <w:r>
        <w:rPr>
          <w:rFonts w:ascii="David" w:hAnsi="David" w:cs="David"/>
          <w:rtl w:val="true"/>
        </w:rPr>
        <w:t>ומכאן ההליכים שלפנינו</w:t>
      </w:r>
      <w:r>
        <w:rPr>
          <w:rFonts w:cs="David" w:ascii="David" w:hAnsi="David"/>
          <w:rtl w:val="true"/>
        </w:rPr>
        <w:t>.</w:t>
      </w:r>
    </w:p>
    <w:p>
      <w:pPr>
        <w:pStyle w:val="Heading1"/>
        <w:suppressLineNumbers/>
        <w:ind w:firstLine="510" w:end="0"/>
        <w:jc w:val="start"/>
        <w:rPr/>
      </w:pPr>
      <w:r>
        <w:rPr>
          <w:rtl w:val="true"/>
        </w:rPr>
        <w:t>טענות הצדדים</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הוועדה המקומית טוענת כי בשומות המכריעות נפלה טעות מתודולוגית</w:t>
      </w:r>
      <w:r>
        <w:rPr>
          <w:rFonts w:cs="David" w:ascii="David" w:hAnsi="David"/>
          <w:rtl w:val="true"/>
        </w:rPr>
        <w:t xml:space="preserve">, </w:t>
      </w:r>
      <w:r>
        <w:rPr>
          <w:rFonts w:ascii="David" w:hAnsi="David" w:cs="David"/>
          <w:rtl w:val="true"/>
        </w:rPr>
        <w:t>שכן מקדם הדחייה</w:t>
      </w:r>
      <w:r>
        <w:rPr>
          <w:rFonts w:cs="David" w:ascii="David" w:hAnsi="David"/>
          <w:rtl w:val="true"/>
        </w:rPr>
        <w:t xml:space="preserve">, </w:t>
      </w:r>
      <w:r>
        <w:rPr>
          <w:rFonts w:ascii="David" w:hAnsi="David" w:cs="David"/>
          <w:rtl w:val="true"/>
        </w:rPr>
        <w:t>כפי שנקבע בשומות המכריעות</w:t>
      </w:r>
      <w:r>
        <w:rPr>
          <w:rFonts w:cs="David" w:ascii="David" w:hAnsi="David"/>
          <w:rtl w:val="true"/>
        </w:rPr>
        <w:t xml:space="preserve">, </w:t>
      </w:r>
      <w:r>
        <w:rPr>
          <w:rFonts w:ascii="David" w:hAnsi="David" w:cs="David"/>
          <w:rtl w:val="true"/>
        </w:rPr>
        <w:t>הופעל על שווי המצב התכנוני החדש</w:t>
      </w:r>
      <w:r>
        <w:rPr>
          <w:rFonts w:cs="David" w:ascii="David" w:hAnsi="David"/>
          <w:rtl w:val="true"/>
        </w:rPr>
        <w:t xml:space="preserve">, </w:t>
      </w:r>
      <w:r>
        <w:rPr>
          <w:rFonts w:ascii="David" w:hAnsi="David" w:cs="David"/>
          <w:rtl w:val="true"/>
        </w:rPr>
        <w:t>ולא על ההשבחה</w:t>
      </w:r>
      <w:r>
        <w:rPr>
          <w:rFonts w:cs="David" w:ascii="David" w:hAnsi="David"/>
          <w:rtl w:val="true"/>
        </w:rPr>
        <w:t xml:space="preserve">. </w:t>
      </w:r>
      <w:r>
        <w:rPr>
          <w:rFonts w:ascii="David" w:hAnsi="David" w:cs="David"/>
          <w:rtl w:val="true"/>
        </w:rPr>
        <w:t>בכך</w:t>
      </w:r>
      <w:r>
        <w:rPr>
          <w:rFonts w:cs="David" w:ascii="David" w:hAnsi="David"/>
          <w:rtl w:val="true"/>
        </w:rPr>
        <w:t xml:space="preserve">, </w:t>
      </w:r>
      <w:r>
        <w:rPr>
          <w:rFonts w:ascii="David" w:hAnsi="David" w:cs="David"/>
          <w:rtl w:val="true"/>
        </w:rPr>
        <w:t>לגישתה</w:t>
      </w:r>
      <w:r>
        <w:rPr>
          <w:rFonts w:cs="David" w:ascii="David" w:hAnsi="David"/>
          <w:rtl w:val="true"/>
        </w:rPr>
        <w:t xml:space="preserve">, </w:t>
      </w:r>
      <w:r>
        <w:rPr>
          <w:rFonts w:ascii="David" w:hAnsi="David" w:cs="David"/>
          <w:rtl w:val="true"/>
        </w:rPr>
        <w:t>סטתה השמאית המכריעה מהמתדולוגיה הראויה לחישוב היטל השבחה כפי שנקבעה ב</w:t>
      </w:r>
      <w:hyperlink r:id="rId11">
        <w:r>
          <w:rPr>
            <w:rStyle w:val="Hyperlink"/>
            <w:rFonts w:ascii="David" w:hAnsi="David" w:cs="David"/>
            <w:color w:val="0000FF"/>
            <w:u w:val="single"/>
            <w:rtl w:val="true"/>
          </w:rPr>
          <w:t>עמ</w:t>
        </w:r>
        <w:r>
          <w:rPr>
            <w:rStyle w:val="Hyperlink"/>
            <w:rFonts w:cs="David" w:ascii="David" w:hAnsi="David"/>
            <w:color w:val="0000FF"/>
            <w:u w:val="single"/>
            <w:rtl w:val="true"/>
          </w:rPr>
          <w:t>"</w:t>
        </w:r>
        <w:r>
          <w:rPr>
            <w:rStyle w:val="Hyperlink"/>
            <w:rFonts w:ascii="David" w:hAnsi="David" w:cs="David"/>
            <w:color w:val="0000FF"/>
            <w:u w:val="single"/>
            <w:rtl w:val="true"/>
          </w:rPr>
          <w:t xml:space="preserve">נ </w:t>
        </w:r>
        <w:r>
          <w:rPr>
            <w:rStyle w:val="Hyperlink"/>
            <w:rFonts w:cs="David" w:ascii="David" w:hAnsi="David"/>
            <w:color w:val="0000FF"/>
            <w:u w:val="single"/>
            <w:rtl w:val="true"/>
          </w:rPr>
          <w:t>(</w:t>
        </w:r>
        <w:r>
          <w:rPr>
            <w:rStyle w:val="Hyperlink"/>
            <w:rFonts w:ascii="David" w:hAnsi="David" w:cs="David"/>
            <w:color w:val="0000FF"/>
            <w:u w:val="single"/>
            <w:rtl w:val="true"/>
          </w:rPr>
          <w:t>מינהליים ת</w:t>
        </w:r>
        <w:r>
          <w:rPr>
            <w:rStyle w:val="Hyperlink"/>
            <w:rFonts w:cs="David" w:ascii="David" w:hAnsi="David"/>
            <w:color w:val="0000FF"/>
            <w:u w:val="single"/>
            <w:rtl w:val="true"/>
          </w:rPr>
          <w:t>"</w:t>
        </w:r>
        <w:r>
          <w:rPr>
            <w:rStyle w:val="Hyperlink"/>
            <w:rFonts w:ascii="David" w:hAnsi="David" w:cs="David"/>
            <w:color w:val="0000FF"/>
            <w:u w:val="single"/>
            <w:rtl w:val="true"/>
          </w:rPr>
          <w:t>א</w:t>
        </w:r>
        <w:r>
          <w:rPr>
            <w:rStyle w:val="Hyperlink"/>
            <w:rFonts w:cs="David" w:ascii="David" w:hAnsi="David"/>
            <w:color w:val="0000FF"/>
            <w:u w:val="single"/>
            <w:rtl w:val="true"/>
          </w:rPr>
          <w:t xml:space="preserve">) </w:t>
        </w:r>
        <w:r>
          <w:rPr>
            <w:rStyle w:val="Hyperlink"/>
            <w:rFonts w:cs="David" w:ascii="David" w:hAnsi="David"/>
            <w:color w:val="0000FF"/>
            <w:u w:val="single"/>
          </w:rPr>
          <w:t>18341-09-24</w:t>
        </w:r>
      </w:hyperlink>
      <w:r>
        <w:rPr>
          <w:rFonts w:cs="David" w:ascii="David" w:hAnsi="David"/>
          <w:rtl w:val="true"/>
        </w:rPr>
        <w:t xml:space="preserve"> </w:t>
      </w:r>
      <w:r>
        <w:rPr>
          <w:rFonts w:ascii="Miriam" w:hAnsi="Miriam" w:cs="Miriam"/>
          <w:rtl w:val="true"/>
        </w:rPr>
        <w:t>הוועדה המקומית לתכנון ולבניה תל אביב</w:t>
      </w:r>
      <w:r>
        <w:rPr>
          <w:rFonts w:cs="Miriam" w:ascii="Miriam" w:hAnsi="Miriam"/>
          <w:rtl w:val="true"/>
        </w:rPr>
        <w:t>-</w:t>
      </w:r>
      <w:r>
        <w:rPr>
          <w:rFonts w:ascii="Miriam" w:hAnsi="Miriam" w:cs="Miriam"/>
          <w:rtl w:val="true"/>
        </w:rPr>
        <w:t>יפו נ</w:t>
      </w:r>
      <w:r>
        <w:rPr>
          <w:rFonts w:cs="Miriam" w:ascii="Miriam" w:hAnsi="Miriam"/>
          <w:rtl w:val="true"/>
        </w:rPr>
        <w:t xml:space="preserve">' </w:t>
      </w:r>
      <w:r>
        <w:rPr>
          <w:rFonts w:ascii="Miriam" w:hAnsi="Miriam" w:cs="Miriam"/>
          <w:rtl w:val="true"/>
        </w:rPr>
        <w:t>נועה לב</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26.6.2025</w:t>
      </w:r>
      <w:r>
        <w:rPr>
          <w:rFonts w:cs="David" w:ascii="David" w:hAnsi="David"/>
          <w:rtl w:val="true"/>
        </w:rPr>
        <w:t>) (</w:t>
      </w:r>
      <w:r>
        <w:rPr>
          <w:rFonts w:ascii="David" w:hAnsi="David" w:cs="David"/>
          <w:rtl w:val="true"/>
        </w:rPr>
        <w:t>להלן</w:t>
      </w:r>
      <w:r>
        <w:rPr>
          <w:rFonts w:cs="David" w:ascii="David" w:hAnsi="David"/>
          <w:rtl w:val="true"/>
        </w:rPr>
        <w:t>: "</w:t>
      </w:r>
      <w:r>
        <w:rPr>
          <w:rFonts w:ascii="Miriam" w:hAnsi="Miriam" w:cs="Miriam"/>
          <w:rtl w:val="true"/>
        </w:rPr>
        <w:t>עניין נועה לב</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לחלופין</w:t>
      </w:r>
      <w:r>
        <w:rPr>
          <w:rFonts w:cs="David" w:ascii="David" w:hAnsi="David"/>
          <w:rtl w:val="true"/>
        </w:rPr>
        <w:t xml:space="preserve">, </w:t>
      </w:r>
      <w:r>
        <w:rPr>
          <w:rFonts w:ascii="David" w:hAnsi="David" w:cs="David"/>
          <w:rtl w:val="true"/>
        </w:rPr>
        <w:t>הוועדה המקומית טוענת כי ככל שמביאים בחשבון דחייה לשווי במצב התכנוני החדש</w:t>
      </w:r>
      <w:r>
        <w:rPr>
          <w:rFonts w:cs="David" w:ascii="David" w:hAnsi="David"/>
          <w:rtl w:val="true"/>
        </w:rPr>
        <w:t xml:space="preserve">, </w:t>
      </w:r>
      <w:r>
        <w:rPr>
          <w:rFonts w:ascii="David" w:hAnsi="David" w:cs="David"/>
          <w:rtl w:val="true"/>
        </w:rPr>
        <w:t>יש להביא בחשבון גם את התועלת הכלכלית שמפיק בעל המקרקעין בתקופת הביניים מהמשך השימוש במבנים הקיימים</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בתקופת ההמתנה למימוש התוכנית ממשיכות הדירות להניב דמי שכירות</w:t>
      </w:r>
      <w:r>
        <w:rPr>
          <w:rFonts w:cs="David" w:ascii="David" w:hAnsi="David"/>
          <w:rtl w:val="true"/>
        </w:rPr>
        <w:t xml:space="preserve">, </w:t>
      </w:r>
      <w:r>
        <w:rPr>
          <w:rFonts w:ascii="David" w:hAnsi="David" w:cs="David"/>
          <w:rtl w:val="true"/>
        </w:rPr>
        <w:t>ואין להתחשב ב</w:t>
      </w:r>
      <w:r>
        <w:rPr>
          <w:rFonts w:cs="David" w:ascii="David" w:hAnsi="David"/>
          <w:rtl w:val="true"/>
        </w:rPr>
        <w:t>"</w:t>
      </w:r>
      <w:r>
        <w:rPr>
          <w:rFonts w:ascii="David" w:hAnsi="David" w:cs="David"/>
          <w:rtl w:val="true"/>
        </w:rPr>
        <w:t>עוקץ</w:t>
      </w:r>
      <w:r>
        <w:rPr>
          <w:rFonts w:cs="David" w:ascii="David" w:hAnsi="David"/>
          <w:rtl w:val="true"/>
        </w:rPr>
        <w:t xml:space="preserve">" </w:t>
      </w:r>
      <w:r>
        <w:rPr>
          <w:rFonts w:ascii="David" w:hAnsi="David" w:cs="David"/>
          <w:rtl w:val="true"/>
        </w:rPr>
        <w:t xml:space="preserve">של הדחייה תוך התעלמות מן </w:t>
      </w:r>
      <w:r>
        <w:rPr>
          <w:rFonts w:cs="David" w:ascii="David" w:hAnsi="David"/>
          <w:rtl w:val="true"/>
        </w:rPr>
        <w:t>"</w:t>
      </w:r>
      <w:r>
        <w:rPr>
          <w:rFonts w:ascii="David" w:hAnsi="David" w:cs="David"/>
          <w:rtl w:val="true"/>
        </w:rPr>
        <w:t>הדבש</w:t>
      </w:r>
      <w:r>
        <w:rPr>
          <w:rFonts w:cs="David" w:ascii="David" w:hAnsi="David"/>
          <w:rtl w:val="true"/>
        </w:rPr>
        <w:t xml:space="preserve">" – </w:t>
      </w:r>
      <w:r>
        <w:rPr>
          <w:rFonts w:ascii="David" w:hAnsi="David" w:cs="David"/>
          <w:rtl w:val="true"/>
        </w:rPr>
        <w:t>ההכנסה המתקבלת מן הנכס הקיים</w:t>
      </w:r>
      <w:r>
        <w:rPr>
          <w:rFonts w:cs="David" w:ascii="David" w:hAnsi="David"/>
          <w:rtl w:val="true"/>
        </w:rPr>
        <w:t xml:space="preserve">. </w:t>
      </w:r>
      <w:r>
        <w:rPr>
          <w:rFonts w:ascii="David" w:hAnsi="David" w:cs="David"/>
          <w:rtl w:val="true"/>
        </w:rPr>
        <w:t>הוועדה טענה כי שני המרכיבים הם נתונים כלכליים חיצוניים לתוכנית שיש לבחון כמכלול אחד</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כמו כן</w:t>
      </w:r>
      <w:r>
        <w:rPr>
          <w:rFonts w:cs="David" w:ascii="David" w:hAnsi="David"/>
          <w:rtl w:val="true"/>
        </w:rPr>
        <w:t xml:space="preserve">, </w:t>
      </w:r>
      <w:r>
        <w:rPr>
          <w:rFonts w:ascii="David" w:hAnsi="David" w:cs="David"/>
          <w:rtl w:val="true"/>
        </w:rPr>
        <w:t>הוועדה המקומית טוענת כי מקדם הדחייה שקבעה השמאית המכריעה מחמיר ואינו משקף את נסיבותיו הקונקרטיות של המיזם ואת נתוני המימוש בפועל של פרויקטים להתחדשות עירונית בנתניה</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השמאית המכריעה אמנם ציינה כי תיתן משקל להיקף חתימות בעלי הדירות</w:t>
      </w:r>
      <w:r>
        <w:rPr>
          <w:rFonts w:cs="David" w:ascii="David" w:hAnsi="David"/>
          <w:rtl w:val="true"/>
        </w:rPr>
        <w:t xml:space="preserve">, </w:t>
      </w:r>
      <w:r>
        <w:rPr>
          <w:rFonts w:ascii="David" w:hAnsi="David" w:cs="David"/>
          <w:rtl w:val="true"/>
        </w:rPr>
        <w:t>אולם בפועל לא ניתן משקל מספק לכך שבמועד הרלוונטי כבר היה שיעור חתימות משמעותי</w:t>
      </w:r>
      <w:r>
        <w:rPr>
          <w:rFonts w:cs="David" w:ascii="David" w:hAnsi="David"/>
          <w:rtl w:val="true"/>
        </w:rPr>
        <w:t xml:space="preserve">. </w:t>
      </w:r>
      <w:r>
        <w:rPr>
          <w:rFonts w:ascii="David" w:hAnsi="David" w:cs="David"/>
          <w:rtl w:val="true"/>
        </w:rPr>
        <w:t>הוועדה המקומית חולקת גם על אופן ניתוח עסקאות ההשוואה ששימשו את השמאית המכריעה לקביעת תקופת הדחייה</w:t>
      </w:r>
      <w:r>
        <w:rPr>
          <w:rFonts w:cs="David" w:ascii="David" w:hAnsi="David"/>
          <w:rtl w:val="true"/>
        </w:rPr>
        <w:t xml:space="preserve">. </w:t>
      </w:r>
      <w:r>
        <w:rPr>
          <w:rFonts w:ascii="David" w:hAnsi="David" w:cs="David"/>
          <w:rtl w:val="true"/>
        </w:rPr>
        <w:t>לטענתה</w:t>
      </w:r>
      <w:r>
        <w:rPr>
          <w:rFonts w:cs="David" w:ascii="David" w:hAnsi="David"/>
          <w:rtl w:val="true"/>
        </w:rPr>
        <w:t xml:space="preserve">, </w:t>
      </w:r>
      <w:r>
        <w:rPr>
          <w:rFonts w:ascii="David" w:hAnsi="David" w:cs="David"/>
          <w:rtl w:val="true"/>
        </w:rPr>
        <w:t>אין ללמוד מתקופות המימוש של תוכניות קודמות שלא היו כלכליות במתכונתן המקורית ונזקקו לתוכנית משלימה שהוסיפה זכויות</w:t>
      </w:r>
      <w:r>
        <w:rPr>
          <w:rFonts w:cs="David" w:ascii="David" w:hAnsi="David"/>
          <w:rtl w:val="true"/>
        </w:rPr>
        <w:t xml:space="preserve">. </w:t>
      </w:r>
      <w:r>
        <w:rPr>
          <w:rFonts w:ascii="David" w:hAnsi="David" w:cs="David"/>
          <w:rtl w:val="true"/>
        </w:rPr>
        <w:t>במקרים אלה יש למדוד את משך המימוש מהמועד שבו אושרה התוכנית המשלימה והפרויקט הפך לכלכלי</w:t>
      </w:r>
      <w:r>
        <w:rPr>
          <w:rFonts w:cs="David" w:ascii="David" w:hAnsi="David"/>
          <w:rtl w:val="true"/>
        </w:rPr>
        <w:t xml:space="preserve">, </w:t>
      </w:r>
      <w:r>
        <w:rPr>
          <w:rFonts w:ascii="David" w:hAnsi="David" w:cs="David"/>
          <w:rtl w:val="true"/>
        </w:rPr>
        <w:t>ולא ממועד אישורה של התוכנית הראשונה</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המיזם מושא העררים שונה מאותם מקרים</w:t>
      </w:r>
      <w:r>
        <w:rPr>
          <w:rFonts w:cs="David" w:ascii="David" w:hAnsi="David"/>
          <w:rtl w:val="true"/>
        </w:rPr>
        <w:t xml:space="preserve">, </w:t>
      </w:r>
      <w:r>
        <w:rPr>
          <w:rFonts w:ascii="David" w:hAnsi="David" w:cs="David"/>
          <w:rtl w:val="true"/>
        </w:rPr>
        <w:t>שכן אין מדובר בתכנון דו</w:t>
      </w:r>
      <w:r>
        <w:rPr>
          <w:rFonts w:cs="David" w:ascii="David" w:hAnsi="David"/>
          <w:rtl w:val="true"/>
        </w:rPr>
        <w:t>-</w:t>
      </w:r>
      <w:r>
        <w:rPr>
          <w:rFonts w:ascii="David" w:hAnsi="David" w:cs="David"/>
          <w:rtl w:val="true"/>
        </w:rPr>
        <w:t>שלבי או בתוכנית ביניים בלתי</w:t>
      </w:r>
      <w:r>
        <w:rPr>
          <w:rFonts w:cs="David" w:ascii="David" w:hAnsi="David"/>
          <w:rtl w:val="true"/>
        </w:rPr>
        <w:t>-</w:t>
      </w:r>
      <w:r>
        <w:rPr>
          <w:rFonts w:ascii="David" w:hAnsi="David" w:cs="David"/>
          <w:rtl w:val="true"/>
        </w:rPr>
        <w:t>כלכלית</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עוד טוענת הוועדה המקומית כי יש לייחס משקל מרכזי לשתי עסקאות מכר שנערכו בדירות המצויות במתחם לאחר אישור התוכנית</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עסקאות אלה הן נתוני השוואה מהמקרקעין עצמם</w:t>
      </w:r>
      <w:r>
        <w:rPr>
          <w:rFonts w:cs="David" w:ascii="David" w:hAnsi="David"/>
          <w:rtl w:val="true"/>
        </w:rPr>
        <w:t xml:space="preserve">, </w:t>
      </w:r>
      <w:r>
        <w:rPr>
          <w:rFonts w:ascii="David" w:hAnsi="David" w:cs="David"/>
          <w:rtl w:val="true"/>
        </w:rPr>
        <w:t>והיה על השמאית המכריעה להעניק להן משקל ממשי בקביעת שווי המצב החדש</w:t>
      </w:r>
      <w:r>
        <w:rPr>
          <w:rFonts w:cs="David" w:ascii="David" w:hAnsi="David"/>
          <w:rtl w:val="true"/>
        </w:rPr>
        <w:t xml:space="preserve">. </w:t>
      </w:r>
      <w:r>
        <w:rPr>
          <w:rFonts w:ascii="David" w:hAnsi="David" w:cs="David"/>
          <w:rtl w:val="true"/>
        </w:rPr>
        <w:t>הפער בין נתונים אלה מוביל</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להשבחה גבוהה באופן משמעותי מזו שנקבעה בשומה המכרעת</w:t>
      </w:r>
      <w:r>
        <w:rPr>
          <w:rFonts w:cs="David" w:ascii="David" w:hAnsi="David"/>
          <w:rtl w:val="true"/>
        </w:rPr>
        <w:t xml:space="preserve">. </w:t>
      </w:r>
      <w:r>
        <w:rPr>
          <w:rFonts w:ascii="David" w:hAnsi="David" w:cs="David"/>
          <w:rtl w:val="true"/>
        </w:rPr>
        <w:t>לטענתה</w:t>
      </w:r>
      <w:r>
        <w:rPr>
          <w:rFonts w:cs="David" w:ascii="David" w:hAnsi="David"/>
          <w:rtl w:val="true"/>
        </w:rPr>
        <w:t xml:space="preserve">, </w:t>
      </w:r>
      <w:r>
        <w:rPr>
          <w:rFonts w:ascii="David" w:hAnsi="David" w:cs="David"/>
          <w:rtl w:val="true"/>
        </w:rPr>
        <w:t>עסקאות אלה מלמדות למצער כי תוצאת השומה המכרעת אינה סבירה ודורשת בחינה מחדש</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נוסף על האמור</w:t>
      </w:r>
      <w:r>
        <w:rPr>
          <w:rFonts w:cs="David" w:ascii="David" w:hAnsi="David"/>
          <w:rtl w:val="true"/>
        </w:rPr>
        <w:t xml:space="preserve">, </w:t>
      </w:r>
      <w:r>
        <w:rPr>
          <w:rFonts w:ascii="David" w:hAnsi="David" w:cs="David"/>
          <w:rtl w:val="true"/>
        </w:rPr>
        <w:t>הוועדה המקומית טוענת כי אין להכיר בזכאות בעלי הזכויות לפטור מהיטל השבחה עבור שטחם של מרחבים מוגנים</w:t>
      </w:r>
      <w:r>
        <w:rPr>
          <w:rFonts w:cs="David" w:ascii="David" w:hAnsi="David"/>
          <w:rtl w:val="true"/>
        </w:rPr>
        <w:t xml:space="preserve">. </w:t>
      </w:r>
      <w:r>
        <w:rPr>
          <w:rFonts w:ascii="David" w:hAnsi="David" w:cs="David"/>
          <w:rtl w:val="true"/>
        </w:rPr>
        <w:t>לגישתה</w:t>
      </w:r>
      <w:r>
        <w:rPr>
          <w:rFonts w:cs="David" w:ascii="David" w:hAnsi="David"/>
          <w:rtl w:val="true"/>
        </w:rPr>
        <w:t xml:space="preserve">, </w:t>
      </w:r>
      <w:r>
        <w:rPr>
          <w:rFonts w:ascii="David" w:hAnsi="David" w:cs="David"/>
          <w:rtl w:val="true"/>
        </w:rPr>
        <w:t>יש לראות בזכויות למרחבים מוגנים כחלק מהממכר ומההשבחה שממנה נהנה היזם</w:t>
      </w:r>
      <w:r>
        <w:rPr>
          <w:rFonts w:cs="David" w:ascii="David" w:hAnsi="David"/>
          <w:rtl w:val="true"/>
        </w:rPr>
        <w:t xml:space="preserve">, </w:t>
      </w:r>
      <w:r>
        <w:rPr>
          <w:rFonts w:ascii="David" w:hAnsi="David" w:cs="David"/>
          <w:rtl w:val="true"/>
        </w:rPr>
        <w:t>וכי הזכויות התגבשו עם כניסתה של התוכנית לתוקף</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בפרויקט בנייה רוויה היזם בונה את הממ</w:t>
      </w:r>
      <w:r>
        <w:rPr>
          <w:rFonts w:cs="David" w:ascii="David" w:hAnsi="David"/>
          <w:rtl w:val="true"/>
        </w:rPr>
        <w:t>"</w:t>
      </w:r>
      <w:r>
        <w:rPr>
          <w:rFonts w:ascii="David" w:hAnsi="David" w:cs="David"/>
          <w:rtl w:val="true"/>
        </w:rPr>
        <w:t>ד ומשווקו כחלק מהדירה החדשה</w:t>
      </w:r>
      <w:r>
        <w:rPr>
          <w:rFonts w:cs="David" w:ascii="David" w:hAnsi="David"/>
          <w:rtl w:val="true"/>
        </w:rPr>
        <w:t xml:space="preserve">, </w:t>
      </w:r>
      <w:r>
        <w:rPr>
          <w:rFonts w:ascii="David" w:hAnsi="David" w:cs="David"/>
          <w:rtl w:val="true"/>
        </w:rPr>
        <w:t>ועל כן פרשנות המרחיבה את הפטור עלולה להביא לפטור גורף כמעט בכל פרויקט של בנייה רוויה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לחלופין</w:t>
      </w:r>
      <w:r>
        <w:rPr>
          <w:rFonts w:cs="David" w:ascii="David" w:hAnsi="David"/>
          <w:rtl w:val="true"/>
        </w:rPr>
        <w:t xml:space="preserve">, </w:t>
      </w:r>
      <w:r>
        <w:rPr>
          <w:rFonts w:ascii="David" w:hAnsi="David" w:cs="David"/>
          <w:rtl w:val="true"/>
        </w:rPr>
        <w:t>הוועדה המקומית מבקשת להסתמך על פסק הדין ב</w:t>
      </w:r>
      <w:hyperlink r:id="rId12">
        <w:r>
          <w:rPr>
            <w:rStyle w:val="Hyperlink"/>
            <w:rFonts w:ascii="David" w:hAnsi="David" w:cs="David"/>
            <w:color w:val="0000FF"/>
            <w:u w:val="single"/>
            <w:rtl w:val="true"/>
          </w:rPr>
          <w:t>עמ</w:t>
        </w:r>
        <w:r>
          <w:rPr>
            <w:rStyle w:val="Hyperlink"/>
            <w:rFonts w:cs="David" w:ascii="David" w:hAnsi="David"/>
            <w:color w:val="0000FF"/>
            <w:u w:val="single"/>
            <w:rtl w:val="true"/>
          </w:rPr>
          <w:t>"</w:t>
        </w:r>
        <w:r>
          <w:rPr>
            <w:rStyle w:val="Hyperlink"/>
            <w:rFonts w:ascii="David" w:hAnsi="David" w:cs="David"/>
            <w:color w:val="0000FF"/>
            <w:u w:val="single"/>
            <w:rtl w:val="true"/>
          </w:rPr>
          <w:t xml:space="preserve">נ </w:t>
        </w:r>
        <w:r>
          <w:rPr>
            <w:rStyle w:val="Hyperlink"/>
            <w:rFonts w:cs="David" w:ascii="David" w:hAnsi="David"/>
            <w:color w:val="0000FF"/>
            <w:u w:val="single"/>
            <w:rtl w:val="true"/>
          </w:rPr>
          <w:t>(</w:t>
        </w:r>
        <w:r>
          <w:rPr>
            <w:rStyle w:val="Hyperlink"/>
            <w:rFonts w:ascii="David" w:hAnsi="David" w:cs="David"/>
            <w:color w:val="0000FF"/>
            <w:u w:val="single"/>
            <w:rtl w:val="true"/>
          </w:rPr>
          <w:t>מינהליים ת</w:t>
        </w:r>
        <w:r>
          <w:rPr>
            <w:rStyle w:val="Hyperlink"/>
            <w:rFonts w:cs="David" w:ascii="David" w:hAnsi="David"/>
            <w:color w:val="0000FF"/>
            <w:u w:val="single"/>
            <w:rtl w:val="true"/>
          </w:rPr>
          <w:t>"</w:t>
        </w:r>
        <w:r>
          <w:rPr>
            <w:rStyle w:val="Hyperlink"/>
            <w:rFonts w:ascii="David" w:hAnsi="David" w:cs="David"/>
            <w:color w:val="0000FF"/>
            <w:u w:val="single"/>
            <w:rtl w:val="true"/>
          </w:rPr>
          <w:t>א</w:t>
        </w:r>
        <w:r>
          <w:rPr>
            <w:rStyle w:val="Hyperlink"/>
            <w:rFonts w:cs="David" w:ascii="David" w:hAnsi="David"/>
            <w:color w:val="0000FF"/>
            <w:u w:val="single"/>
            <w:rtl w:val="true"/>
          </w:rPr>
          <w:t xml:space="preserve">) </w:t>
        </w:r>
        <w:r>
          <w:rPr>
            <w:rStyle w:val="Hyperlink"/>
            <w:rFonts w:cs="David" w:ascii="David" w:hAnsi="David"/>
            <w:color w:val="0000FF"/>
            <w:u w:val="single"/>
          </w:rPr>
          <w:t>35758-09-25</w:t>
        </w:r>
      </w:hyperlink>
      <w:r>
        <w:rPr>
          <w:rFonts w:cs="David" w:ascii="David" w:hAnsi="David"/>
          <w:rtl w:val="true"/>
        </w:rPr>
        <w:t xml:space="preserve"> </w:t>
      </w:r>
      <w:r>
        <w:rPr>
          <w:rFonts w:ascii="Miriam" w:hAnsi="Miriam" w:cs="Miriam"/>
          <w:rtl w:val="true"/>
        </w:rPr>
        <w:t>הועדה המקומית לתכנון ולבניה בת ים נ</w:t>
      </w:r>
      <w:r>
        <w:rPr>
          <w:rFonts w:cs="Miriam" w:ascii="Miriam" w:hAnsi="Miriam"/>
          <w:rtl w:val="true"/>
        </w:rPr>
        <w:t xml:space="preserve">' </w:t>
      </w:r>
      <w:r>
        <w:rPr>
          <w:rFonts w:ascii="Miriam" w:hAnsi="Miriam" w:cs="Miriam"/>
          <w:rtl w:val="true"/>
        </w:rPr>
        <w:t>בקר ב</w:t>
      </w:r>
      <w:r>
        <w:rPr>
          <w:rFonts w:cs="Miriam" w:ascii="Miriam" w:hAnsi="Miriam"/>
          <w:rtl w:val="true"/>
        </w:rPr>
        <w:t>.</w:t>
      </w:r>
      <w:r>
        <w:rPr>
          <w:rFonts w:ascii="Miriam" w:hAnsi="Miriam" w:cs="Miriam"/>
          <w:rtl w:val="true"/>
        </w:rPr>
        <w:t>י</w:t>
      </w:r>
      <w:r>
        <w:rPr>
          <w:rFonts w:cs="Miriam" w:ascii="Miriam" w:hAnsi="Miriam"/>
          <w:rtl w:val="true"/>
        </w:rPr>
        <w:t xml:space="preserve">. </w:t>
      </w:r>
      <w:r>
        <w:rPr>
          <w:rFonts w:ascii="Miriam" w:hAnsi="Miriam" w:cs="Miriam"/>
          <w:rtl w:val="true"/>
        </w:rPr>
        <w:t>חברה לבניין בע</w:t>
      </w:r>
      <w:r>
        <w:rPr>
          <w:rFonts w:cs="Miriam" w:ascii="Miriam" w:hAnsi="Miriam"/>
          <w:rtl w:val="true"/>
        </w:rPr>
        <w:t>"</w:t>
      </w:r>
      <w:r>
        <w:rPr>
          <w:rFonts w:ascii="Miriam" w:hAnsi="Miriam" w:cs="Miriam"/>
          <w:rtl w:val="true"/>
        </w:rPr>
        <w:t>מ</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4.5.2026</w:t>
      </w:r>
      <w:r>
        <w:rPr>
          <w:rFonts w:cs="David" w:ascii="David" w:hAnsi="David"/>
          <w:rtl w:val="true"/>
        </w:rPr>
        <w:t>) (</w:t>
      </w:r>
      <w:r>
        <w:rPr>
          <w:rFonts w:ascii="David" w:hAnsi="David" w:cs="David"/>
          <w:rtl w:val="true"/>
        </w:rPr>
        <w:t>להלן</w:t>
      </w:r>
      <w:r>
        <w:rPr>
          <w:rFonts w:cs="David" w:ascii="David" w:hAnsi="David"/>
          <w:rtl w:val="true"/>
        </w:rPr>
        <w:t>: "</w:t>
      </w:r>
      <w:r>
        <w:rPr>
          <w:rFonts w:ascii="Miriam" w:hAnsi="Miriam" w:cs="Miriam"/>
          <w:rtl w:val="true"/>
        </w:rPr>
        <w:t>עניין בובליל</w:t>
      </w:r>
      <w:r>
        <w:rPr>
          <w:rFonts w:cs="David" w:ascii="David" w:hAnsi="David"/>
          <w:rtl w:val="true"/>
        </w:rPr>
        <w:t xml:space="preserve">") </w:t>
      </w:r>
      <w:r>
        <w:rPr>
          <w:rFonts w:ascii="David" w:hAnsi="David" w:cs="David"/>
          <w:rtl w:val="true"/>
        </w:rPr>
        <w:t>וטוענת כי למצער יש לחייב בגין מרחבים מוגנים ביחס לדירות שההסכמים עם בעליהן נחתמו לאחר אישור התוכנית</w:t>
      </w:r>
      <w:r>
        <w:rPr>
          <w:rFonts w:cs="David" w:ascii="David" w:hAnsi="David"/>
          <w:rtl w:val="true"/>
        </w:rPr>
        <w:t xml:space="preserve">. </w:t>
      </w:r>
      <w:r>
        <w:rPr>
          <w:rFonts w:ascii="David" w:hAnsi="David" w:cs="David"/>
          <w:rtl w:val="true"/>
        </w:rPr>
        <w:t>עוד נטען כי התוכנית היא זו שאפשרה יצירת יחידות דיור נוספות</w:t>
      </w:r>
      <w:r>
        <w:rPr>
          <w:rFonts w:cs="David" w:ascii="David" w:hAnsi="David"/>
          <w:rtl w:val="true"/>
        </w:rPr>
        <w:t xml:space="preserve">, </w:t>
      </w:r>
      <w:r>
        <w:rPr>
          <w:rFonts w:ascii="David" w:hAnsi="David" w:cs="David"/>
          <w:rtl w:val="true"/>
        </w:rPr>
        <w:t>היא שיצרה את התשתית התכנונית להקמת המרחבים המוגנים הנלווים לאותן יחידות</w:t>
      </w:r>
      <w:r>
        <w:rPr>
          <w:rFonts w:cs="David" w:ascii="David" w:hAnsi="David"/>
          <w:rtl w:val="true"/>
        </w:rPr>
        <w:t xml:space="preserve">. </w:t>
      </w:r>
      <w:r>
        <w:rPr>
          <w:rFonts w:ascii="David" w:hAnsi="David" w:cs="David"/>
          <w:rtl w:val="true"/>
        </w:rPr>
        <w:t>לפיכך קיים</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קשר סיבתי מספק בין אישור התוכנית לבין ההשבחה הנובעת מזכויות למרחבים מוגנים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הוועדה המקומית חולקת גם על קביעות השמאית המכריעה ביחס לרכיב המסחר</w:t>
      </w:r>
      <w:r>
        <w:rPr>
          <w:rFonts w:cs="David" w:ascii="David" w:hAnsi="David"/>
          <w:rtl w:val="true"/>
        </w:rPr>
        <w:t xml:space="preserve">. </w:t>
      </w:r>
      <w:r>
        <w:rPr>
          <w:rFonts w:ascii="David" w:hAnsi="David" w:cs="David"/>
          <w:rtl w:val="true"/>
        </w:rPr>
        <w:t>לטענתה</w:t>
      </w:r>
      <w:r>
        <w:rPr>
          <w:rFonts w:cs="David" w:ascii="David" w:hAnsi="David"/>
          <w:rtl w:val="true"/>
        </w:rPr>
        <w:t xml:space="preserve">, </w:t>
      </w:r>
      <w:r>
        <w:rPr>
          <w:rFonts w:ascii="David" w:hAnsi="David" w:cs="David"/>
          <w:rtl w:val="true"/>
        </w:rPr>
        <w:t>עסקאות ההשוואה שנבחרו אינן מתאימות למתחם שלגביו חלה התוכנית</w:t>
      </w:r>
      <w:r>
        <w:rPr>
          <w:rFonts w:cs="David" w:ascii="David" w:hAnsi="David"/>
          <w:rtl w:val="true"/>
        </w:rPr>
        <w:t xml:space="preserve">. </w:t>
      </w:r>
      <w:r>
        <w:rPr>
          <w:rFonts w:ascii="David" w:hAnsi="David" w:cs="David"/>
          <w:rtl w:val="true"/>
        </w:rPr>
        <w:t>לגישתה</w:t>
      </w:r>
      <w:r>
        <w:rPr>
          <w:rFonts w:cs="David" w:ascii="David" w:hAnsi="David"/>
          <w:rtl w:val="true"/>
        </w:rPr>
        <w:t xml:space="preserve">, </w:t>
      </w:r>
      <w:r>
        <w:rPr>
          <w:rFonts w:ascii="David" w:hAnsi="David" w:cs="David"/>
          <w:rtl w:val="true"/>
        </w:rPr>
        <w:t>לא נערכה הבחנה מספקת בין מסחר בקומת הקרקע לבין מסחר בקומה הראשונה</w:t>
      </w:r>
      <w:r>
        <w:rPr>
          <w:rFonts w:cs="David" w:ascii="David" w:hAnsi="David"/>
          <w:rtl w:val="true"/>
        </w:rPr>
        <w:t xml:space="preserve">, </w:t>
      </w:r>
      <w:r>
        <w:rPr>
          <w:rFonts w:ascii="David" w:hAnsi="David" w:cs="David"/>
          <w:rtl w:val="true"/>
        </w:rPr>
        <w:t>אף שקיים פער שווי מהותי בין השניים</w:t>
      </w:r>
      <w:r>
        <w:rPr>
          <w:rFonts w:cs="David" w:ascii="David" w:hAnsi="David"/>
          <w:rtl w:val="true"/>
        </w:rPr>
        <w:t xml:space="preserve">; </w:t>
      </w:r>
      <w:r>
        <w:rPr>
          <w:rFonts w:ascii="David" w:hAnsi="David" w:cs="David"/>
          <w:rtl w:val="true"/>
        </w:rPr>
        <w:t>חלק מן העסקאות חרגו מטווח הזמן הראוי להשוואה</w:t>
      </w:r>
      <w:r>
        <w:rPr>
          <w:rFonts w:cs="David" w:ascii="David" w:hAnsi="David"/>
          <w:rtl w:val="true"/>
        </w:rPr>
        <w:t xml:space="preserve">; </w:t>
      </w:r>
      <w:r>
        <w:rPr>
          <w:rFonts w:ascii="David" w:hAnsi="David" w:cs="David"/>
          <w:rtl w:val="true"/>
        </w:rPr>
        <w:t>והסתמכות על מכרזי רמ</w:t>
      </w:r>
      <w:r>
        <w:rPr>
          <w:rFonts w:cs="David" w:ascii="David" w:hAnsi="David"/>
          <w:rtl w:val="true"/>
        </w:rPr>
        <w:t>"</w:t>
      </w:r>
      <w:r>
        <w:rPr>
          <w:rFonts w:ascii="David" w:hAnsi="David" w:cs="David"/>
          <w:rtl w:val="true"/>
        </w:rPr>
        <w:t>י הייתה בלתי מתאימה בשל הבדלים ניכרים בהיקפי המסחר ובמאפייני הנכסים</w:t>
      </w:r>
      <w:r>
        <w:rPr>
          <w:rFonts w:cs="David" w:ascii="David" w:hAnsi="David"/>
          <w:rtl w:val="true"/>
        </w:rPr>
        <w:t xml:space="preserve">. </w:t>
      </w:r>
      <w:r>
        <w:rPr>
          <w:rFonts w:ascii="David" w:hAnsi="David" w:cs="David"/>
          <w:rtl w:val="true"/>
        </w:rPr>
        <w:t>עוד נטען כי בחלק מנתוני ההשוואה מתקבלת תוצאה שבה שווי בנוי נמוך מן השווי המבונה המשתמע מן השומה</w:t>
      </w:r>
      <w:r>
        <w:rPr>
          <w:rFonts w:cs="David" w:ascii="David" w:hAnsi="David"/>
          <w:rtl w:val="true"/>
        </w:rPr>
        <w:t xml:space="preserve">, </w:t>
      </w:r>
      <w:r>
        <w:rPr>
          <w:rFonts w:ascii="David" w:hAnsi="David" w:cs="David"/>
          <w:rtl w:val="true"/>
        </w:rPr>
        <w:t>תוצאה שלשיטת הוועדה אינה סבירה ומצביעה על פגם במתודולוגיית ההשוואה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דמרי מחזיקה בעמדה שונה ביחס לכלל הסוגיות שעל הפרק</w:t>
      </w:r>
      <w:r>
        <w:rPr>
          <w:rFonts w:cs="David" w:ascii="David" w:hAnsi="David"/>
          <w:rtl w:val="true"/>
        </w:rPr>
        <w:t xml:space="preserve">. </w:t>
      </w:r>
      <w:r>
        <w:rPr>
          <w:rFonts w:ascii="David" w:hAnsi="David" w:cs="David"/>
          <w:rtl w:val="true"/>
        </w:rPr>
        <w:t>לגישתה</w:t>
      </w:r>
      <w:r>
        <w:rPr>
          <w:rFonts w:cs="David" w:ascii="David" w:hAnsi="David"/>
          <w:rtl w:val="true"/>
        </w:rPr>
        <w:t xml:space="preserve">, </w:t>
      </w:r>
      <w:r>
        <w:rPr>
          <w:rFonts w:ascii="David" w:hAnsi="David" w:cs="David"/>
          <w:rtl w:val="true"/>
        </w:rPr>
        <w:t>בשומות המכריעות נפלו טעויות מהותיות המביאות לחיוב בהיטל השבחה שאינו משקף את ההתעשרות הכלכלית האמיתית שנוצרה עקב אישור התוכנית</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לגישתה</w:t>
      </w:r>
      <w:r>
        <w:rPr>
          <w:rFonts w:cs="David" w:ascii="David" w:hAnsi="David"/>
          <w:rtl w:val="true"/>
        </w:rPr>
        <w:t xml:space="preserve">, </w:t>
      </w:r>
      <w:r>
        <w:rPr>
          <w:rFonts w:ascii="David" w:hAnsi="David" w:cs="David"/>
          <w:rtl w:val="true"/>
        </w:rPr>
        <w:t>תקופת הדחייה בת חמש השנים שקבעה השמאית המכריעה קצרה ואינה סבירה ביחס למאפייניו של פרויקט פינוי ובינוי בהיקף שנקבע בתוכנית</w:t>
      </w:r>
      <w:r>
        <w:rPr>
          <w:rFonts w:cs="David" w:ascii="David" w:hAnsi="David"/>
          <w:rtl w:val="true"/>
        </w:rPr>
        <w:t xml:space="preserve">. </w:t>
      </w:r>
      <w:r>
        <w:rPr>
          <w:rFonts w:ascii="David" w:hAnsi="David" w:cs="David"/>
          <w:rtl w:val="true"/>
        </w:rPr>
        <w:t>בהקשר זה נטען כי ממועד אישור תוכנית ועד למימוש פרויקט מסוג זה נדרשים</w:t>
      </w:r>
      <w:r>
        <w:rPr>
          <w:rFonts w:cs="David" w:ascii="David" w:hAnsi="David"/>
          <w:rtl w:val="true"/>
        </w:rPr>
        <w:t xml:space="preserve">, </w:t>
      </w:r>
      <w:r>
        <w:rPr>
          <w:rFonts w:ascii="David" w:hAnsi="David" w:cs="David"/>
          <w:rtl w:val="true"/>
        </w:rPr>
        <w:t>בין היתר</w:t>
      </w:r>
      <w:r>
        <w:rPr>
          <w:rFonts w:cs="David" w:ascii="David" w:hAnsi="David"/>
          <w:rtl w:val="true"/>
        </w:rPr>
        <w:t xml:space="preserve">, </w:t>
      </w:r>
      <w:r>
        <w:rPr>
          <w:rFonts w:ascii="David" w:hAnsi="David" w:cs="David"/>
          <w:rtl w:val="true"/>
        </w:rPr>
        <w:t>השלמת ההתקשרויות עם בעלי הזכויות</w:t>
      </w:r>
      <w:r>
        <w:rPr>
          <w:rFonts w:cs="David" w:ascii="David" w:hAnsi="David"/>
          <w:rtl w:val="true"/>
        </w:rPr>
        <w:t xml:space="preserve">, </w:t>
      </w:r>
      <w:r>
        <w:rPr>
          <w:rFonts w:ascii="David" w:hAnsi="David" w:cs="David"/>
          <w:rtl w:val="true"/>
        </w:rPr>
        <w:t>הסכמות בדבר חלוקת הדירות</w:t>
      </w:r>
      <w:r>
        <w:rPr>
          <w:rFonts w:cs="David" w:ascii="David" w:hAnsi="David"/>
          <w:rtl w:val="true"/>
        </w:rPr>
        <w:t xml:space="preserve">, </w:t>
      </w:r>
      <w:r>
        <w:rPr>
          <w:rFonts w:ascii="David" w:hAnsi="David" w:cs="David"/>
          <w:rtl w:val="true"/>
        </w:rPr>
        <w:t>חתימה על מסמכי ליווי ושעבוד והתמודדות עם דיירים סרבנים</w:t>
      </w:r>
      <w:r>
        <w:rPr>
          <w:rFonts w:cs="David" w:ascii="David" w:hAnsi="David"/>
          <w:rtl w:val="true"/>
        </w:rPr>
        <w:t xml:space="preserve">; </w:t>
      </w:r>
      <w:r>
        <w:rPr>
          <w:rFonts w:ascii="David" w:hAnsi="David" w:cs="David"/>
          <w:rtl w:val="true"/>
        </w:rPr>
        <w:t>ובהתאם לשומות מכריעות ולפרויקטים אחרים יש להביא בחשבון תקופת דחייה של שש שנים לפחות</w:t>
      </w:r>
      <w:r>
        <w:rPr>
          <w:rFonts w:cs="David" w:ascii="David" w:hAnsi="David"/>
          <w:rtl w:val="true"/>
        </w:rPr>
        <w:t xml:space="preserve">. </w:t>
      </w:r>
      <w:r>
        <w:rPr>
          <w:rFonts w:ascii="David" w:hAnsi="David" w:cs="David"/>
          <w:rtl w:val="true"/>
        </w:rPr>
        <w:t>בענייננו יש בחשבון תקופה של שבע שנים</w:t>
      </w:r>
      <w:r>
        <w:rPr>
          <w:rFonts w:cs="David" w:ascii="David" w:hAnsi="David"/>
          <w:rtl w:val="true"/>
        </w:rPr>
        <w:t xml:space="preserve">, </w:t>
      </w:r>
      <w:r>
        <w:rPr>
          <w:rFonts w:ascii="David" w:hAnsi="David" w:cs="David"/>
          <w:rtl w:val="true"/>
        </w:rPr>
        <w:t>בין היתר בשל הקושי הייחודי שנוצר עקב שינוי מדיניות התמורות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לעניין זה טענה דמרי כי ההסכמים המקוריים עם בעלי הדירות נערכו על יסוד תמורות של תוספת עשרות מ</w:t>
      </w:r>
      <w:r>
        <w:rPr>
          <w:rFonts w:cs="David" w:ascii="David" w:hAnsi="David"/>
          <w:rtl w:val="true"/>
        </w:rPr>
        <w:t>"</w:t>
      </w:r>
      <w:r>
        <w:rPr>
          <w:rFonts w:ascii="David" w:hAnsi="David" w:cs="David"/>
          <w:rtl w:val="true"/>
        </w:rPr>
        <w:t>ר לדירה</w:t>
      </w:r>
      <w:r>
        <w:rPr>
          <w:rFonts w:cs="David" w:ascii="David" w:hAnsi="David"/>
          <w:rtl w:val="true"/>
        </w:rPr>
        <w:t xml:space="preserve">, </w:t>
      </w:r>
      <w:r>
        <w:rPr>
          <w:rFonts w:ascii="David" w:hAnsi="David" w:cs="David"/>
          <w:rtl w:val="true"/>
        </w:rPr>
        <w:t xml:space="preserve">בעוד שבעקבות מדיניות העירייה והתוכנית צומצמה התמורה לתוספת של </w:t>
      </w:r>
      <w:r>
        <w:rPr>
          <w:rFonts w:cs="David" w:ascii="David" w:hAnsi="David"/>
        </w:rPr>
        <w:t>12</w:t>
      </w:r>
      <w:r>
        <w:rPr>
          <w:rFonts w:cs="David" w:ascii="David" w:hAnsi="David"/>
          <w:rtl w:val="true"/>
        </w:rPr>
        <w:t xml:space="preserve"> </w:t>
      </w:r>
      <w:r>
        <w:rPr>
          <w:rFonts w:ascii="David" w:hAnsi="David" w:cs="David"/>
          <w:rtl w:val="true"/>
        </w:rPr>
        <w:t>מ</w:t>
      </w:r>
      <w:r>
        <w:rPr>
          <w:rFonts w:cs="David" w:ascii="David" w:hAnsi="David"/>
          <w:rtl w:val="true"/>
        </w:rPr>
        <w:t>"</w:t>
      </w:r>
      <w:r>
        <w:rPr>
          <w:rFonts w:ascii="David" w:hAnsi="David" w:cs="David"/>
          <w:rtl w:val="true"/>
        </w:rPr>
        <w:t>ר בלבד</w:t>
      </w:r>
      <w:r>
        <w:rPr>
          <w:rFonts w:cs="David" w:ascii="David" w:hAnsi="David"/>
          <w:rtl w:val="true"/>
        </w:rPr>
        <w:t xml:space="preserve">. </w:t>
      </w:r>
      <w:r>
        <w:rPr>
          <w:rFonts w:ascii="David" w:hAnsi="David" w:cs="David"/>
          <w:rtl w:val="true"/>
        </w:rPr>
        <w:t>שינוי מהותי זה חייב</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פתיחה מחודשת של מערכת ההסכמים</w:t>
      </w:r>
      <w:r>
        <w:rPr>
          <w:rFonts w:cs="David" w:ascii="David" w:hAnsi="David"/>
          <w:rtl w:val="true"/>
        </w:rPr>
        <w:t xml:space="preserve">, </w:t>
      </w:r>
      <w:r>
        <w:rPr>
          <w:rFonts w:ascii="David" w:hAnsi="David" w:cs="David"/>
          <w:rtl w:val="true"/>
        </w:rPr>
        <w:t>השגת הסכמות וחתימות מחודשות על נספחים</w:t>
      </w:r>
      <w:r>
        <w:rPr>
          <w:rFonts w:cs="David" w:ascii="David" w:hAnsi="David"/>
          <w:rtl w:val="true"/>
        </w:rPr>
        <w:t xml:space="preserve">, </w:t>
      </w:r>
      <w:r>
        <w:rPr>
          <w:rFonts w:ascii="David" w:hAnsi="David" w:cs="David"/>
          <w:rtl w:val="true"/>
        </w:rPr>
        <w:t>ובכך יצר גורם דחייה נוסף שלא ניתן להתעלם ממנו</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כמו כן</w:t>
      </w:r>
      <w:r>
        <w:rPr>
          <w:rFonts w:cs="David" w:ascii="David" w:hAnsi="David"/>
          <w:rtl w:val="true"/>
        </w:rPr>
        <w:t xml:space="preserve">, </w:t>
      </w:r>
      <w:r>
        <w:rPr>
          <w:rFonts w:ascii="David" w:hAnsi="David" w:cs="David"/>
          <w:rtl w:val="true"/>
        </w:rPr>
        <w:t>לגישת דמרי</w:t>
      </w:r>
      <w:r>
        <w:rPr>
          <w:rFonts w:cs="David" w:ascii="David" w:hAnsi="David"/>
          <w:rtl w:val="true"/>
        </w:rPr>
        <w:t xml:space="preserve">, </w:t>
      </w:r>
      <w:r>
        <w:rPr>
          <w:rFonts w:ascii="David" w:hAnsi="David" w:cs="David"/>
          <w:rtl w:val="true"/>
        </w:rPr>
        <w:t>אין להסיק משיעור החתימות כשלעצמו כי הפרויקט היה קרוב למימוש</w:t>
      </w:r>
      <w:r>
        <w:rPr>
          <w:rFonts w:cs="David" w:ascii="David" w:hAnsi="David"/>
          <w:rtl w:val="true"/>
        </w:rPr>
        <w:t xml:space="preserve">. </w:t>
      </w:r>
      <w:r>
        <w:rPr>
          <w:rFonts w:ascii="David" w:hAnsi="David" w:cs="David"/>
          <w:rtl w:val="true"/>
        </w:rPr>
        <w:t>בפרויקט פינוי ובינוי גם מיעוט של בעלי זכויות שלא הגיעו להסכמה עלול לעכב את המימוש במשך שנים</w:t>
      </w:r>
      <w:r>
        <w:rPr>
          <w:rFonts w:cs="David" w:ascii="David" w:hAnsi="David"/>
          <w:rtl w:val="true"/>
        </w:rPr>
        <w:t xml:space="preserve">; </w:t>
      </w:r>
      <w:r>
        <w:rPr>
          <w:rFonts w:ascii="David" w:hAnsi="David" w:cs="David"/>
          <w:rtl w:val="true"/>
        </w:rPr>
        <w:t>זאת לצד סיכונים נוספים שקונה סביר היה מביא בחשבון במועד הקובע</w:t>
      </w:r>
      <w:r>
        <w:rPr>
          <w:rFonts w:cs="David" w:ascii="David" w:hAnsi="David"/>
          <w:rtl w:val="true"/>
        </w:rPr>
        <w:t xml:space="preserve">, </w:t>
      </w:r>
      <w:r>
        <w:rPr>
          <w:rFonts w:ascii="David" w:hAnsi="David" w:cs="David"/>
          <w:rtl w:val="true"/>
        </w:rPr>
        <w:t>ובהם הליכים משפטיים מול סרבנים</w:t>
      </w:r>
      <w:r>
        <w:rPr>
          <w:rFonts w:cs="David" w:ascii="David" w:hAnsi="David"/>
          <w:rtl w:val="true"/>
        </w:rPr>
        <w:t xml:space="preserve">, </w:t>
      </w:r>
      <w:r>
        <w:rPr>
          <w:rFonts w:ascii="David" w:hAnsi="David" w:cs="David"/>
          <w:rtl w:val="true"/>
        </w:rPr>
        <w:t>שינויי פסיקה</w:t>
      </w:r>
      <w:r>
        <w:rPr>
          <w:rFonts w:cs="David" w:ascii="David" w:hAnsi="David"/>
          <w:rtl w:val="true"/>
        </w:rPr>
        <w:t xml:space="preserve">, </w:t>
      </w:r>
      <w:r>
        <w:rPr>
          <w:rFonts w:ascii="David" w:hAnsi="David" w:cs="David"/>
          <w:rtl w:val="true"/>
        </w:rPr>
        <w:t>שינוי בתנאי המימון והריבית</w:t>
      </w:r>
      <w:r>
        <w:rPr>
          <w:rFonts w:cs="David" w:ascii="David" w:hAnsi="David"/>
          <w:rtl w:val="true"/>
        </w:rPr>
        <w:t xml:space="preserve">, </w:t>
      </w:r>
      <w:r>
        <w:rPr>
          <w:rFonts w:ascii="David" w:hAnsi="David" w:cs="David"/>
          <w:rtl w:val="true"/>
        </w:rPr>
        <w:t>שלביות הביצוע ומורכבות הפרויקט</w:t>
      </w:r>
      <w:r>
        <w:rPr>
          <w:rFonts w:cs="David" w:ascii="David" w:hAnsi="David"/>
          <w:rtl w:val="true"/>
        </w:rPr>
        <w:t xml:space="preserve">. </w:t>
      </w:r>
      <w:r>
        <w:rPr>
          <w:rFonts w:ascii="David" w:hAnsi="David" w:cs="David"/>
          <w:rtl w:val="true"/>
        </w:rPr>
        <w:t>עוד נטען כי חלק מהחתימות שניתנו בעבר איבדו ממשמעותן בעקבות שינוי התמורות</w:t>
      </w:r>
      <w:r>
        <w:rPr>
          <w:rFonts w:cs="David" w:ascii="David" w:hAnsi="David"/>
          <w:rtl w:val="true"/>
        </w:rPr>
        <w:t xml:space="preserve">, </w:t>
      </w:r>
      <w:r>
        <w:rPr>
          <w:rFonts w:ascii="David" w:hAnsi="David" w:cs="David"/>
          <w:rtl w:val="true"/>
        </w:rPr>
        <w:t>כך שהצגת שיעור החתימות ללא בחינת תוקפן ותוכנן אינה משקפת את מצב הפרויקט לאשורו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דמרי הדגישה כי קביעת הדחייה חייבת להיעשות נכון למועד הקובע</w:t>
      </w:r>
      <w:r>
        <w:rPr>
          <w:rFonts w:cs="David" w:ascii="David" w:hAnsi="David"/>
          <w:rtl w:val="true"/>
        </w:rPr>
        <w:t xml:space="preserve">, </w:t>
      </w:r>
      <w:r>
        <w:rPr>
          <w:rFonts w:ascii="David" w:hAnsi="David" w:cs="David"/>
          <w:rtl w:val="true"/>
        </w:rPr>
        <w:t>על פי ציפיותיו של קונה סביר באותו מועד</w:t>
      </w:r>
      <w:r>
        <w:rPr>
          <w:rFonts w:cs="David" w:ascii="David" w:hAnsi="David"/>
          <w:rtl w:val="true"/>
        </w:rPr>
        <w:t xml:space="preserve">, </w:t>
      </w:r>
      <w:r>
        <w:rPr>
          <w:rFonts w:ascii="David" w:hAnsi="David" w:cs="David"/>
          <w:rtl w:val="true"/>
        </w:rPr>
        <w:t xml:space="preserve">ולא על יסוד </w:t>
      </w:r>
      <w:r>
        <w:rPr>
          <w:rFonts w:cs="David" w:ascii="David" w:hAnsi="David"/>
          <w:rtl w:val="true"/>
        </w:rPr>
        <w:t>"</w:t>
      </w:r>
      <w:r>
        <w:rPr>
          <w:rFonts w:ascii="David" w:hAnsi="David" w:cs="David"/>
          <w:rtl w:val="true"/>
        </w:rPr>
        <w:t>חוכמה בדיעבד</w:t>
      </w:r>
      <w:r>
        <w:rPr>
          <w:rFonts w:cs="David" w:ascii="David" w:hAnsi="David"/>
          <w:rtl w:val="true"/>
        </w:rPr>
        <w:t xml:space="preserve">". </w:t>
      </w:r>
      <w:r>
        <w:rPr>
          <w:rFonts w:ascii="David" w:hAnsi="David" w:cs="David"/>
          <w:rtl w:val="true"/>
        </w:rPr>
        <w:t>לפיכך</w:t>
      </w:r>
      <w:r>
        <w:rPr>
          <w:rFonts w:cs="David" w:ascii="David" w:hAnsi="David"/>
          <w:rtl w:val="true"/>
        </w:rPr>
        <w:t xml:space="preserve">, </w:t>
      </w:r>
      <w:r>
        <w:rPr>
          <w:rFonts w:ascii="David" w:hAnsi="David" w:cs="David"/>
          <w:rtl w:val="true"/>
        </w:rPr>
        <w:t>העובדה שבשלב מאוחר יותר קודם היתר חפירה או היתר בנייה אינה יכולה כשלעצמה לקצר בדיעבד את תקופת הדחייה שהיה מקום להניח במועד הקובע</w:t>
      </w:r>
      <w:r>
        <w:rPr>
          <w:rFonts w:cs="David" w:ascii="David" w:hAnsi="David"/>
          <w:rtl w:val="true"/>
        </w:rPr>
        <w:t xml:space="preserve">. </w:t>
      </w:r>
      <w:r>
        <w:rPr>
          <w:rFonts w:ascii="David" w:hAnsi="David" w:cs="David"/>
          <w:rtl w:val="true"/>
        </w:rPr>
        <w:t>בפרט נטען כי היתר החפירה והדיפון שעליו הסתמכה הוועדה המקומית לא מומש באותה עת בשל העדר הסכמות מלאות עם בעלי הזכויות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כמו כן</w:t>
      </w:r>
      <w:r>
        <w:rPr>
          <w:rFonts w:cs="David" w:ascii="David" w:hAnsi="David"/>
          <w:rtl w:val="true"/>
        </w:rPr>
        <w:t xml:space="preserve">, </w:t>
      </w:r>
      <w:r>
        <w:rPr>
          <w:rFonts w:ascii="David" w:hAnsi="David" w:cs="David"/>
          <w:rtl w:val="true"/>
        </w:rPr>
        <w:t>דמרי הפנתה לשומות מכריעות ולפרויקטים אחרים שבהם נקבעו מקדמי דחייה המשקפים תקופות ארוכות יותר</w:t>
      </w:r>
      <w:r>
        <w:rPr>
          <w:rFonts w:cs="David" w:ascii="David" w:hAnsi="David"/>
          <w:rtl w:val="true"/>
        </w:rPr>
        <w:t xml:space="preserve">, </w:t>
      </w:r>
      <w:r>
        <w:rPr>
          <w:rFonts w:ascii="David" w:hAnsi="David" w:cs="David"/>
          <w:rtl w:val="true"/>
        </w:rPr>
        <w:t>לרבות בפרויקטים שמספר יחידות הדיור בהם קטן מהמיזם דנן</w:t>
      </w:r>
      <w:r>
        <w:rPr>
          <w:rFonts w:cs="David" w:ascii="David" w:hAnsi="David"/>
          <w:rtl w:val="true"/>
        </w:rPr>
        <w:t xml:space="preserve">. </w:t>
      </w:r>
      <w:r>
        <w:rPr>
          <w:rFonts w:ascii="David" w:hAnsi="David" w:cs="David"/>
          <w:rtl w:val="true"/>
        </w:rPr>
        <w:t>בהקשר זה נטען כי גם הנמקתן הפנימית של השומות המכריעות אינה מתיישבת עם התוצאה של חמש שנות דחייה</w:t>
      </w:r>
      <w:r>
        <w:rPr>
          <w:rFonts w:cs="David" w:ascii="David" w:hAnsi="David"/>
          <w:rtl w:val="true"/>
        </w:rPr>
        <w:t xml:space="preserve">. </w:t>
      </w:r>
      <w:r>
        <w:rPr>
          <w:rFonts w:ascii="David" w:hAnsi="David" w:cs="David"/>
          <w:rtl w:val="true"/>
        </w:rPr>
        <w:t>השמאית המכריעה העריכה כי היתר הבנייה הראשון צפוי רק לאחר כ</w:t>
      </w:r>
      <w:r>
        <w:rPr>
          <w:rFonts w:cs="David" w:ascii="David" w:hAnsi="David"/>
          <w:rtl w:val="true"/>
        </w:rPr>
        <w:t>-</w:t>
      </w:r>
      <w:r>
        <w:rPr>
          <w:rFonts w:cs="David" w:ascii="David" w:hAnsi="David"/>
        </w:rPr>
        <w:t>4.5</w:t>
      </w:r>
      <w:r>
        <w:rPr>
          <w:rFonts w:cs="David" w:ascii="David" w:hAnsi="David"/>
          <w:rtl w:val="true"/>
        </w:rPr>
        <w:t xml:space="preserve"> </w:t>
      </w:r>
      <w:r>
        <w:rPr>
          <w:rFonts w:ascii="David" w:hAnsi="David" w:cs="David"/>
          <w:rtl w:val="true"/>
        </w:rPr>
        <w:t>שנים</w:t>
      </w:r>
      <w:r>
        <w:rPr>
          <w:rFonts w:cs="David" w:ascii="David" w:hAnsi="David"/>
          <w:rtl w:val="true"/>
        </w:rPr>
        <w:t xml:space="preserve">, </w:t>
      </w:r>
      <w:r>
        <w:rPr>
          <w:rFonts w:ascii="David" w:hAnsi="David" w:cs="David"/>
          <w:rtl w:val="true"/>
        </w:rPr>
        <w:t>ובמקביל הכירה בכך שמימוש מלוא המתחם נעשה בשלבים ומושפע מהיקף הבנייה</w:t>
      </w:r>
      <w:r>
        <w:rPr>
          <w:rFonts w:cs="David" w:ascii="David" w:hAnsi="David"/>
          <w:rtl w:val="true"/>
        </w:rPr>
        <w:t xml:space="preserve">, </w:t>
      </w:r>
      <w:r>
        <w:rPr>
          <w:rFonts w:ascii="David" w:hAnsi="David" w:cs="David"/>
          <w:rtl w:val="true"/>
        </w:rPr>
        <w:t>קצב המכירות</w:t>
      </w:r>
      <w:r>
        <w:rPr>
          <w:rFonts w:cs="David" w:ascii="David" w:hAnsi="David"/>
          <w:rtl w:val="true"/>
        </w:rPr>
        <w:t xml:space="preserve">, </w:t>
      </w:r>
      <w:r>
        <w:rPr>
          <w:rFonts w:ascii="David" w:hAnsi="David" w:cs="David"/>
          <w:rtl w:val="true"/>
        </w:rPr>
        <w:t>כוח האדם ותזרים המזומנים</w:t>
      </w:r>
      <w:r>
        <w:rPr>
          <w:rFonts w:cs="David" w:ascii="David" w:hAnsi="David"/>
          <w:rtl w:val="true"/>
        </w:rPr>
        <w:t xml:space="preserve">. </w:t>
      </w:r>
      <w:r>
        <w:rPr>
          <w:rFonts w:ascii="David" w:hAnsi="David" w:cs="David"/>
          <w:rtl w:val="true"/>
        </w:rPr>
        <w:t>לשיטת העוררים</w:t>
      </w:r>
      <w:r>
        <w:rPr>
          <w:rFonts w:cs="David" w:ascii="David" w:hAnsi="David"/>
          <w:rtl w:val="true"/>
        </w:rPr>
        <w:t xml:space="preserve">, </w:t>
      </w:r>
      <w:r>
        <w:rPr>
          <w:rFonts w:ascii="David" w:hAnsi="David" w:cs="David"/>
          <w:rtl w:val="true"/>
        </w:rPr>
        <w:t xml:space="preserve">אם היתר ראשון צפוי רק לאחר </w:t>
      </w:r>
      <w:r>
        <w:rPr>
          <w:rFonts w:cs="David" w:ascii="David" w:hAnsi="David"/>
        </w:rPr>
        <w:t>4.5</w:t>
      </w:r>
      <w:r>
        <w:rPr>
          <w:rFonts w:cs="David" w:ascii="David" w:hAnsi="David"/>
          <w:rtl w:val="true"/>
        </w:rPr>
        <w:t xml:space="preserve"> </w:t>
      </w:r>
      <w:r>
        <w:rPr>
          <w:rFonts w:ascii="David" w:hAnsi="David" w:cs="David"/>
          <w:rtl w:val="true"/>
        </w:rPr>
        <w:t>שנים ומימוש הפרויקט כולו נעשה בשלבים</w:t>
      </w:r>
      <w:r>
        <w:rPr>
          <w:rFonts w:cs="David" w:ascii="David" w:hAnsi="David"/>
          <w:rtl w:val="true"/>
        </w:rPr>
        <w:t xml:space="preserve">, </w:t>
      </w:r>
      <w:r>
        <w:rPr>
          <w:rFonts w:ascii="David" w:hAnsi="David" w:cs="David"/>
          <w:rtl w:val="true"/>
        </w:rPr>
        <w:t>אין הסבר מספק לכך שתקופת המימוש הממוצעת של מלוא הזכויות הועמדה על חמש שנים בלבד</w:t>
      </w:r>
      <w:r>
        <w:rPr>
          <w:rFonts w:cs="David" w:ascii="David" w:hAnsi="David"/>
          <w:rtl w:val="true"/>
        </w:rPr>
        <w:t xml:space="preserve">. </w:t>
      </w:r>
      <w:r>
        <w:rPr>
          <w:rFonts w:ascii="David" w:hAnsi="David" w:cs="David"/>
          <w:rtl w:val="true"/>
        </w:rPr>
        <w:t>מטעם זה טענו כי אף קביעתה של השמאית המכריעה עצמה תומכת למעשה בתקופת דחייה ארוכה יותר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בכל הנוגע למתודולוגיית חישוב ההשבחה</w:t>
      </w:r>
      <w:r>
        <w:rPr>
          <w:rFonts w:cs="David" w:ascii="David" w:hAnsi="David"/>
          <w:rtl w:val="true"/>
        </w:rPr>
        <w:t xml:space="preserve">, </w:t>
      </w:r>
      <w:r>
        <w:rPr>
          <w:rFonts w:ascii="David" w:hAnsi="David" w:cs="David"/>
          <w:rtl w:val="true"/>
        </w:rPr>
        <w:t>עמדתה של דמרי היא שקיימים קשיים מתודולוגיים בגישה המשתקפת מגישת הוועדה המקומית</w:t>
      </w:r>
      <w:r>
        <w:rPr>
          <w:rFonts w:cs="David" w:ascii="David" w:hAnsi="David"/>
          <w:rtl w:val="true"/>
        </w:rPr>
        <w:t xml:space="preserve">, </w:t>
      </w:r>
      <w:r>
        <w:rPr>
          <w:rFonts w:ascii="David" w:hAnsi="David" w:cs="David"/>
          <w:rtl w:val="true"/>
        </w:rPr>
        <w:t>ובפרט בהנחה שלפיה התוכנית בהכרח יוצרת השבחה חיובית</w:t>
      </w:r>
      <w:r>
        <w:rPr>
          <w:rFonts w:cs="David" w:ascii="David" w:hAnsi="David"/>
          <w:rtl w:val="true"/>
        </w:rPr>
        <w:t xml:space="preserve">. </w:t>
      </w:r>
      <w:r>
        <w:rPr>
          <w:rFonts w:ascii="David" w:hAnsi="David" w:cs="David"/>
          <w:rtl w:val="true"/>
        </w:rPr>
        <w:t>דמרי הדגישה כי תוכנית עשויה להיות בלתי</w:t>
      </w:r>
      <w:r>
        <w:rPr>
          <w:rFonts w:cs="David" w:ascii="David" w:hAnsi="David"/>
          <w:rtl w:val="true"/>
        </w:rPr>
        <w:t>-</w:t>
      </w:r>
      <w:r>
        <w:rPr>
          <w:rFonts w:ascii="David" w:hAnsi="David" w:cs="David"/>
          <w:rtl w:val="true"/>
        </w:rPr>
        <w:t>כלכלית במועד הקובע מבלי שתיחשב לתוכנית פוגעת</w:t>
      </w:r>
      <w:r>
        <w:rPr>
          <w:rFonts w:cs="David" w:ascii="David" w:hAnsi="David"/>
          <w:rtl w:val="true"/>
        </w:rPr>
        <w:t xml:space="preserve">, </w:t>
      </w:r>
      <w:r>
        <w:rPr>
          <w:rFonts w:ascii="David" w:hAnsi="David" w:cs="David"/>
          <w:rtl w:val="true"/>
        </w:rPr>
        <w:t>ואף עשויה להפוך לכלכלית רק בחלוף שנים עקב שינוי מחירי השוק</w:t>
      </w:r>
      <w:r>
        <w:rPr>
          <w:rFonts w:cs="David" w:ascii="David" w:hAnsi="David"/>
          <w:rtl w:val="true"/>
        </w:rPr>
        <w:t xml:space="preserve">. </w:t>
      </w:r>
      <w:r>
        <w:rPr>
          <w:rFonts w:ascii="David" w:hAnsi="David" w:cs="David"/>
          <w:rtl w:val="true"/>
        </w:rPr>
        <w:t>מכאן שאין להניח מראש כי כל תוכנית פינוי ובינוי יוצרת במועד אישורה ערך כלכלי חיובי המצדיק היטל</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על רקע זה העדיפה דמרי את הגישה המיוחסת לפסק הדין שניתן ב</w:t>
      </w:r>
      <w:hyperlink r:id="rId13">
        <w:r>
          <w:rPr>
            <w:rStyle w:val="Hyperlink"/>
            <w:rFonts w:ascii="David" w:hAnsi="David" w:cs="David"/>
            <w:color w:val="0000FF"/>
            <w:u w:val="single"/>
            <w:rtl w:val="true"/>
          </w:rPr>
          <w:t>עמ</w:t>
        </w:r>
        <w:r>
          <w:rPr>
            <w:rStyle w:val="Hyperlink"/>
            <w:rFonts w:cs="David" w:ascii="David" w:hAnsi="David"/>
            <w:color w:val="0000FF"/>
            <w:u w:val="single"/>
            <w:rtl w:val="true"/>
          </w:rPr>
          <w:t>"</w:t>
        </w:r>
        <w:r>
          <w:rPr>
            <w:rStyle w:val="Hyperlink"/>
            <w:rFonts w:ascii="David" w:hAnsi="David" w:cs="David"/>
            <w:color w:val="0000FF"/>
            <w:u w:val="single"/>
            <w:rtl w:val="true"/>
          </w:rPr>
          <w:t xml:space="preserve">נ </w:t>
        </w:r>
        <w:r>
          <w:rPr>
            <w:rStyle w:val="Hyperlink"/>
            <w:rFonts w:cs="David" w:ascii="David" w:hAnsi="David"/>
            <w:color w:val="0000FF"/>
            <w:u w:val="single"/>
            <w:rtl w:val="true"/>
          </w:rPr>
          <w:t>(</w:t>
        </w:r>
        <w:r>
          <w:rPr>
            <w:rStyle w:val="Hyperlink"/>
            <w:rFonts w:ascii="David" w:hAnsi="David" w:cs="David"/>
            <w:color w:val="0000FF"/>
            <w:u w:val="single"/>
            <w:rtl w:val="true"/>
          </w:rPr>
          <w:t>מינהליים ת</w:t>
        </w:r>
        <w:r>
          <w:rPr>
            <w:rStyle w:val="Hyperlink"/>
            <w:rFonts w:cs="David" w:ascii="David" w:hAnsi="David"/>
            <w:color w:val="0000FF"/>
            <w:u w:val="single"/>
            <w:rtl w:val="true"/>
          </w:rPr>
          <w:t>"</w:t>
        </w:r>
        <w:r>
          <w:rPr>
            <w:rStyle w:val="Hyperlink"/>
            <w:rFonts w:ascii="David" w:hAnsi="David" w:cs="David"/>
            <w:color w:val="0000FF"/>
            <w:u w:val="single"/>
            <w:rtl w:val="true"/>
          </w:rPr>
          <w:t>א</w:t>
        </w:r>
        <w:r>
          <w:rPr>
            <w:rStyle w:val="Hyperlink"/>
            <w:rFonts w:cs="David" w:ascii="David" w:hAnsi="David"/>
            <w:color w:val="0000FF"/>
            <w:u w:val="single"/>
            <w:rtl w:val="true"/>
          </w:rPr>
          <w:t xml:space="preserve">) </w:t>
        </w:r>
        <w:r>
          <w:rPr>
            <w:rStyle w:val="Hyperlink"/>
            <w:rFonts w:cs="David" w:ascii="David" w:hAnsi="David"/>
            <w:color w:val="0000FF"/>
            <w:u w:val="single"/>
          </w:rPr>
          <w:t>55750-12-21</w:t>
        </w:r>
      </w:hyperlink>
      <w:r>
        <w:rPr>
          <w:rFonts w:cs="David" w:ascii="David" w:hAnsi="David"/>
          <w:rtl w:val="true"/>
        </w:rPr>
        <w:t xml:space="preserve"> </w:t>
      </w:r>
      <w:r>
        <w:rPr>
          <w:rFonts w:ascii="Miriam" w:hAnsi="Miriam" w:cs="Miriam"/>
          <w:rtl w:val="true"/>
        </w:rPr>
        <w:t>הוועדה המקומית לתכנון ובניה גבעתיים נ</w:t>
      </w:r>
      <w:r>
        <w:rPr>
          <w:rFonts w:cs="Miriam" w:ascii="Miriam" w:hAnsi="Miriam"/>
          <w:rtl w:val="true"/>
        </w:rPr>
        <w:t xml:space="preserve">' </w:t>
      </w:r>
      <w:r>
        <w:rPr>
          <w:rFonts w:ascii="Miriam" w:hAnsi="Miriam" w:cs="Miriam"/>
          <w:rtl w:val="true"/>
        </w:rPr>
        <w:t>טבצ</w:t>
      </w:r>
      <w:r>
        <w:rPr>
          <w:rFonts w:cs="Miriam" w:ascii="Miriam" w:hAnsi="Miriam"/>
          <w:rtl w:val="true"/>
        </w:rPr>
        <w:t>'</w:t>
      </w:r>
      <w:r>
        <w:rPr>
          <w:rFonts w:ascii="Miriam" w:hAnsi="Miriam" w:cs="Miriam"/>
          <w:rtl w:val="true"/>
        </w:rPr>
        <w:t>ניק אבריל שרי</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18.1.2023</w:t>
      </w:r>
      <w:r>
        <w:rPr>
          <w:rFonts w:cs="David" w:ascii="David" w:hAnsi="David"/>
          <w:rtl w:val="true"/>
        </w:rPr>
        <w:t xml:space="preserve">), </w:t>
      </w:r>
      <w:r>
        <w:rPr>
          <w:rFonts w:ascii="David" w:hAnsi="David" w:cs="David"/>
          <w:rtl w:val="true"/>
        </w:rPr>
        <w:t>שלפיה יש לבחון את עליית שווי המקרקעין עקב התוכנית</w:t>
      </w:r>
      <w:r>
        <w:rPr>
          <w:rFonts w:cs="David" w:ascii="David" w:hAnsi="David"/>
          <w:rtl w:val="true"/>
        </w:rPr>
        <w:t xml:space="preserve">, </w:t>
      </w:r>
      <w:r>
        <w:rPr>
          <w:rFonts w:ascii="David" w:hAnsi="David" w:cs="David"/>
          <w:rtl w:val="true"/>
        </w:rPr>
        <w:t>ללא הוספת דמי השימוש שמקורם במצב הקודם</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העובדה שקונה עשוי לייחס ערך גם להכנסות ביניים אינה מלמדת בהכרח כי אותו ערך הוא השבחה שניתן למסותה במסגרת אירוע המס התכנוני</w:t>
      </w:r>
      <w:r>
        <w:rPr>
          <w:rFonts w:cs="David" w:ascii="David" w:hAnsi="David"/>
          <w:rtl w:val="true"/>
        </w:rPr>
        <w:t xml:space="preserve">. </w:t>
      </w:r>
      <w:r>
        <w:rPr>
          <w:rFonts w:ascii="David" w:hAnsi="David" w:cs="David"/>
          <w:rtl w:val="true"/>
        </w:rPr>
        <w:t>דמרי הזהירה כי הוספת דמי השימוש עלולה להביא למצב שבו ההיטל נגבה</w:t>
      </w:r>
      <w:r>
        <w:rPr>
          <w:rFonts w:cs="David" w:ascii="David" w:hAnsi="David"/>
          <w:rtl w:val="true"/>
        </w:rPr>
        <w:t xml:space="preserve">, </w:t>
      </w:r>
      <w:r>
        <w:rPr>
          <w:rFonts w:ascii="David" w:hAnsi="David" w:cs="David"/>
          <w:rtl w:val="true"/>
        </w:rPr>
        <w:t>הלכה למעשה</w:t>
      </w:r>
      <w:r>
        <w:rPr>
          <w:rFonts w:cs="David" w:ascii="David" w:hAnsi="David"/>
          <w:rtl w:val="true"/>
        </w:rPr>
        <w:t xml:space="preserve">, </w:t>
      </w:r>
      <w:r>
        <w:rPr>
          <w:rFonts w:ascii="David" w:hAnsi="David" w:cs="David"/>
          <w:rtl w:val="true"/>
        </w:rPr>
        <w:t>בגין פירותיהן של זכויות שכבר היו קיימות קודם לאישור התוכנית המשביחה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נוסף על כך</w:t>
      </w:r>
      <w:r>
        <w:rPr>
          <w:rFonts w:cs="David" w:ascii="David" w:hAnsi="David"/>
          <w:rtl w:val="true"/>
        </w:rPr>
        <w:t xml:space="preserve">, </w:t>
      </w:r>
      <w:r>
        <w:rPr>
          <w:rFonts w:ascii="David" w:hAnsi="David" w:cs="David"/>
          <w:rtl w:val="true"/>
        </w:rPr>
        <w:t>דמרי ביקשה לבחון את תוצאת שומת היטל ההשבחה גם אל מול הבדיקה הכלכלית שנערכה לצורך אישורה של התוכנית</w:t>
      </w:r>
      <w:r>
        <w:rPr>
          <w:rFonts w:cs="David" w:ascii="David" w:hAnsi="David"/>
          <w:rtl w:val="true"/>
        </w:rPr>
        <w:t xml:space="preserve">. </w:t>
      </w:r>
      <w:r>
        <w:rPr>
          <w:rFonts w:ascii="David" w:hAnsi="David" w:cs="David"/>
          <w:rtl w:val="true"/>
        </w:rPr>
        <w:t>לטענתה</w:t>
      </w:r>
      <w:r>
        <w:rPr>
          <w:rFonts w:cs="David" w:ascii="David" w:hAnsi="David"/>
          <w:rtl w:val="true"/>
        </w:rPr>
        <w:t xml:space="preserve">, </w:t>
      </w:r>
      <w:r>
        <w:rPr>
          <w:rFonts w:ascii="David" w:hAnsi="David" w:cs="David"/>
          <w:rtl w:val="true"/>
        </w:rPr>
        <w:t xml:space="preserve">תקן </w:t>
      </w:r>
      <w:r>
        <w:rPr>
          <w:rFonts w:cs="David" w:ascii="David" w:hAnsi="David"/>
        </w:rPr>
        <w:t>21</w:t>
      </w:r>
      <w:r>
        <w:rPr>
          <w:rFonts w:cs="David" w:ascii="David" w:hAnsi="David"/>
          <w:rtl w:val="true"/>
        </w:rPr>
        <w:t xml:space="preserve"> </w:t>
      </w:r>
      <w:r>
        <w:rPr>
          <w:rFonts w:ascii="David" w:hAnsi="David" w:cs="David"/>
          <w:rtl w:val="true"/>
        </w:rPr>
        <w:t>נועד לבחון את היקף הזכויות הדרוש כדי להעמיד את הפרויקט על רווחיות יזמית נדרשת</w:t>
      </w:r>
      <w:r>
        <w:rPr>
          <w:rFonts w:cs="David" w:ascii="David" w:hAnsi="David"/>
          <w:rtl w:val="true"/>
        </w:rPr>
        <w:t xml:space="preserve">, </w:t>
      </w:r>
      <w:r>
        <w:rPr>
          <w:rFonts w:ascii="David" w:hAnsi="David" w:cs="David"/>
          <w:rtl w:val="true"/>
        </w:rPr>
        <w:t>ובמקרה הנדון התחשיב שאושר במסגרת ההליך התכנוני שיקף היטל השבחה בסדר גודל של כ</w:t>
      </w:r>
      <w:r>
        <w:rPr>
          <w:rFonts w:cs="David" w:ascii="David" w:hAnsi="David"/>
          <w:rtl w:val="true"/>
        </w:rPr>
        <w:t>-</w:t>
      </w:r>
      <w:r>
        <w:rPr>
          <w:rFonts w:cs="David" w:ascii="David" w:hAnsi="David"/>
        </w:rPr>
        <w:t>9</w:t>
      </w:r>
      <w:r>
        <w:rPr>
          <w:rFonts w:cs="David" w:ascii="David" w:hAnsi="David"/>
          <w:rtl w:val="true"/>
        </w:rPr>
        <w:t xml:space="preserve"> </w:t>
      </w:r>
      <w:r>
        <w:rPr>
          <w:rFonts w:ascii="David" w:hAnsi="David" w:cs="David"/>
          <w:rtl w:val="true"/>
        </w:rPr>
        <w:t>מיליון 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לפיכך</w:t>
      </w:r>
      <w:r>
        <w:rPr>
          <w:rFonts w:cs="David" w:ascii="David" w:hAnsi="David"/>
          <w:rtl w:val="true"/>
        </w:rPr>
        <w:t xml:space="preserve">, </w:t>
      </w:r>
      <w:r>
        <w:rPr>
          <w:rFonts w:ascii="David" w:hAnsi="David" w:cs="David"/>
          <w:rtl w:val="true"/>
        </w:rPr>
        <w:t>דרישת היטל הגבוהה ממנו בסדרי גודל משמעותיים מעוררת קושי</w:t>
      </w:r>
      <w:r>
        <w:rPr>
          <w:rFonts w:cs="David" w:ascii="David" w:hAnsi="David"/>
          <w:rtl w:val="true"/>
        </w:rPr>
        <w:t xml:space="preserve">: </w:t>
      </w:r>
      <w:r>
        <w:rPr>
          <w:rFonts w:ascii="David" w:hAnsi="David" w:cs="David"/>
          <w:rtl w:val="true"/>
        </w:rPr>
        <w:t>אילו היטל כזה היה מוכנס מלכתחילה למשוואת הכדאיות</w:t>
      </w:r>
      <w:r>
        <w:rPr>
          <w:rFonts w:cs="David" w:ascii="David" w:hAnsi="David"/>
          <w:rtl w:val="true"/>
        </w:rPr>
        <w:t xml:space="preserve">, </w:t>
      </w:r>
      <w:r>
        <w:rPr>
          <w:rFonts w:ascii="David" w:hAnsi="David" w:cs="David"/>
          <w:rtl w:val="true"/>
        </w:rPr>
        <w:t>היה נדרש לכאורה להקצות לפרויקט זכויות נוספות כדי לשמר את אותה רווחיות יזמית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לשיטת דמרי</w:t>
      </w:r>
      <w:r>
        <w:rPr>
          <w:rFonts w:cs="David" w:ascii="David" w:hAnsi="David"/>
          <w:rtl w:val="true"/>
        </w:rPr>
        <w:t xml:space="preserve">, </w:t>
      </w:r>
      <w:r>
        <w:rPr>
          <w:rFonts w:ascii="David" w:hAnsi="David" w:cs="David"/>
          <w:rtl w:val="true"/>
        </w:rPr>
        <w:t>אין לנתק לחלוטין בין שני המישורים</w:t>
      </w:r>
      <w:r>
        <w:rPr>
          <w:rFonts w:cs="David" w:ascii="David" w:hAnsi="David"/>
          <w:rtl w:val="true"/>
        </w:rPr>
        <w:t xml:space="preserve">. </w:t>
      </w:r>
      <w:r>
        <w:rPr>
          <w:rFonts w:ascii="David" w:hAnsi="David" w:cs="David"/>
          <w:rtl w:val="true"/>
        </w:rPr>
        <w:t>תוכנית פינוי ובינוי מתוכננת על בסיס איזון כלכלי מסוים בין זכויות הבנייה</w:t>
      </w:r>
      <w:r>
        <w:rPr>
          <w:rFonts w:cs="David" w:ascii="David" w:hAnsi="David"/>
          <w:rtl w:val="true"/>
        </w:rPr>
        <w:t xml:space="preserve">, </w:t>
      </w:r>
      <w:r>
        <w:rPr>
          <w:rFonts w:ascii="David" w:hAnsi="David" w:cs="David"/>
          <w:rtl w:val="true"/>
        </w:rPr>
        <w:t>התמורות לדיירים</w:t>
      </w:r>
      <w:r>
        <w:rPr>
          <w:rFonts w:cs="David" w:ascii="David" w:hAnsi="David"/>
          <w:rtl w:val="true"/>
        </w:rPr>
        <w:t xml:space="preserve">, </w:t>
      </w:r>
      <w:r>
        <w:rPr>
          <w:rFonts w:ascii="David" w:hAnsi="David" w:cs="David"/>
          <w:rtl w:val="true"/>
        </w:rPr>
        <w:t>עלויות הפרויקט</w:t>
      </w:r>
      <w:r>
        <w:rPr>
          <w:rFonts w:cs="David" w:ascii="David" w:hAnsi="David"/>
          <w:rtl w:val="true"/>
        </w:rPr>
        <w:t xml:space="preserve">, </w:t>
      </w:r>
      <w:r>
        <w:rPr>
          <w:rFonts w:ascii="David" w:hAnsi="David" w:cs="David"/>
          <w:rtl w:val="true"/>
        </w:rPr>
        <w:t>היטל ההשבחה והרווח היזמי</w:t>
      </w:r>
      <w:r>
        <w:rPr>
          <w:rFonts w:cs="David" w:ascii="David" w:hAnsi="David"/>
          <w:rtl w:val="true"/>
        </w:rPr>
        <w:t xml:space="preserve">. </w:t>
      </w:r>
      <w:r>
        <w:rPr>
          <w:rFonts w:ascii="David" w:hAnsi="David" w:cs="David"/>
          <w:rtl w:val="true"/>
        </w:rPr>
        <w:t>אם לאחר אישור התוכנית נקבע היטל הגבוה באופן ניכר מזה שעליו התבססה הבדיקה הכלכלית</w:t>
      </w:r>
      <w:r>
        <w:rPr>
          <w:rFonts w:cs="David" w:ascii="David" w:hAnsi="David"/>
          <w:rtl w:val="true"/>
        </w:rPr>
        <w:t xml:space="preserve">, </w:t>
      </w:r>
      <w:r>
        <w:rPr>
          <w:rFonts w:ascii="David" w:hAnsi="David" w:cs="David"/>
          <w:rtl w:val="true"/>
        </w:rPr>
        <w:t>עלול להיווצר כשל פנימי שבו אותה תוכנית שאושרה מתוך הנחה שהיא בת</w:t>
      </w:r>
      <w:r>
        <w:rPr>
          <w:rFonts w:cs="David" w:ascii="David" w:hAnsi="David"/>
          <w:rtl w:val="true"/>
        </w:rPr>
        <w:t>-</w:t>
      </w:r>
      <w:r>
        <w:rPr>
          <w:rFonts w:ascii="David" w:hAnsi="David" w:cs="David"/>
          <w:rtl w:val="true"/>
        </w:rPr>
        <w:t>מימוש הופכת לבלתי</w:t>
      </w:r>
      <w:r>
        <w:rPr>
          <w:rFonts w:cs="David" w:ascii="David" w:hAnsi="David"/>
          <w:rtl w:val="true"/>
        </w:rPr>
        <w:t>-</w:t>
      </w:r>
      <w:r>
        <w:rPr>
          <w:rFonts w:ascii="David" w:hAnsi="David" w:cs="David"/>
          <w:rtl w:val="true"/>
        </w:rPr>
        <w:t>כלכלית בשל אופן חישוב ההיטל</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נוסף על כך</w:t>
      </w:r>
      <w:r>
        <w:rPr>
          <w:rFonts w:cs="David" w:ascii="David" w:hAnsi="David"/>
          <w:rtl w:val="true"/>
        </w:rPr>
        <w:t xml:space="preserve">, </w:t>
      </w:r>
      <w:r>
        <w:rPr>
          <w:rFonts w:ascii="David" w:hAnsi="David" w:cs="David"/>
          <w:rtl w:val="true"/>
        </w:rPr>
        <w:t>דמרי טענה כי השמאית המכריעה שגתה כאשר נמנעה מלהביא בחשבון את תרומתה של 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r>
        <w:rPr>
          <w:rFonts w:ascii="David" w:hAnsi="David" w:cs="David"/>
          <w:rtl w:val="true"/>
        </w:rPr>
        <w:t>לשווי המקרקעין במצב הקודם</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גישה זו אינה מתיישבת עם פסק דינו של בית המשפט העליון ב</w:t>
      </w:r>
      <w:hyperlink r:id="rId14">
        <w:r>
          <w:rPr>
            <w:rStyle w:val="Hyperlink"/>
            <w:rFonts w:ascii="David" w:hAnsi="David" w:cs="David"/>
            <w:color w:val="0000FF"/>
            <w:u w:val="single"/>
            <w:rtl w:val="true"/>
          </w:rPr>
          <w:t>בר</w:t>
        </w:r>
        <w:r>
          <w:rPr>
            <w:rStyle w:val="Hyperlink"/>
            <w:rFonts w:cs="David" w:ascii="David" w:hAnsi="David"/>
            <w:color w:val="0000FF"/>
            <w:u w:val="single"/>
            <w:rtl w:val="true"/>
          </w:rPr>
          <w:t>"</w:t>
        </w:r>
        <w:r>
          <w:rPr>
            <w:rStyle w:val="Hyperlink"/>
            <w:rFonts w:ascii="David" w:hAnsi="David" w:cs="David"/>
            <w:color w:val="0000FF"/>
            <w:u w:val="single"/>
            <w:rtl w:val="true"/>
          </w:rPr>
          <w:t xml:space="preserve">מ </w:t>
        </w:r>
        <w:r>
          <w:rPr>
            <w:rStyle w:val="Hyperlink"/>
            <w:rFonts w:cs="David" w:ascii="David" w:hAnsi="David"/>
            <w:color w:val="0000FF"/>
            <w:u w:val="single"/>
          </w:rPr>
          <w:t>25226-04-25</w:t>
        </w:r>
      </w:hyperlink>
      <w:r>
        <w:rPr>
          <w:rFonts w:cs="David" w:ascii="David" w:hAnsi="David"/>
          <w:rtl w:val="true"/>
        </w:rPr>
        <w:t xml:space="preserve"> </w:t>
      </w:r>
      <w:r>
        <w:rPr>
          <w:rFonts w:ascii="Miriam" w:hAnsi="Miriam" w:cs="Miriam"/>
          <w:rtl w:val="true"/>
        </w:rPr>
        <w:t>הוועדה המקומית לתכנון ובניה תל אביב נ</w:t>
      </w:r>
      <w:r>
        <w:rPr>
          <w:rFonts w:cs="Miriam" w:ascii="Miriam" w:hAnsi="Miriam"/>
          <w:rtl w:val="true"/>
        </w:rPr>
        <w:t xml:space="preserve">' </w:t>
      </w:r>
      <w:r>
        <w:rPr>
          <w:rFonts w:ascii="Miriam" w:hAnsi="Miriam" w:cs="Miriam"/>
          <w:rtl w:val="true"/>
        </w:rPr>
        <w:t xml:space="preserve">לויתן אדיב שמואל </w:t>
      </w:r>
      <w:r>
        <w:rPr>
          <w:rFonts w:cs="Miriam" w:ascii="Miriam" w:hAnsi="Miriam"/>
          <w:rtl w:val="true"/>
        </w:rPr>
        <w:t>(</w:t>
      </w:r>
      <w:r>
        <w:rPr>
          <w:rFonts w:ascii="Miriam" w:hAnsi="Miriam" w:cs="Miriam"/>
          <w:rtl w:val="true"/>
        </w:rPr>
        <w:t>אדווין סמואל</w:t>
      </w:r>
      <w:r>
        <w:rPr>
          <w:rFonts w:cs="Miriam" w:ascii="Miriam" w:hAnsi="Miriam"/>
          <w:rtl w:val="true"/>
        </w:rPr>
        <w:t>)</w:t>
      </w:r>
      <w:r>
        <w:rPr>
          <w:rFonts w:cs="David" w:ascii="David" w:hAnsi="David"/>
          <w:rtl w:val="true"/>
        </w:rPr>
        <w:t xml:space="preserve"> (</w:t>
      </w:r>
      <w:r>
        <w:rPr>
          <w:rFonts w:ascii="David" w:hAnsi="David" w:cs="David"/>
          <w:rtl w:val="true"/>
        </w:rPr>
        <w:t xml:space="preserve">נבו </w:t>
      </w:r>
      <w:r>
        <w:rPr>
          <w:rFonts w:cs="David" w:ascii="David" w:hAnsi="David"/>
        </w:rPr>
        <w:t>16.10.2025</w:t>
      </w:r>
      <w:r>
        <w:rPr>
          <w:rFonts w:cs="David" w:ascii="David" w:hAnsi="David"/>
          <w:rtl w:val="true"/>
        </w:rPr>
        <w:t>) (</w:t>
      </w:r>
      <w:r>
        <w:rPr>
          <w:rFonts w:ascii="David" w:hAnsi="David" w:cs="David"/>
          <w:rtl w:val="true"/>
        </w:rPr>
        <w:t>להלן</w:t>
      </w:r>
      <w:r>
        <w:rPr>
          <w:rFonts w:cs="David" w:ascii="David" w:hAnsi="David"/>
          <w:rtl w:val="true"/>
        </w:rPr>
        <w:t>: "</w:t>
      </w:r>
      <w:r>
        <w:rPr>
          <w:rFonts w:ascii="Miriam" w:hAnsi="Miriam" w:cs="Miriam"/>
          <w:rtl w:val="true"/>
        </w:rPr>
        <w:t>עניין לויתן</w:t>
      </w:r>
      <w:r>
        <w:rPr>
          <w:rFonts w:cs="David" w:ascii="David" w:hAnsi="David"/>
          <w:rtl w:val="true"/>
        </w:rPr>
        <w:t xml:space="preserve">"), </w:t>
      </w:r>
      <w:r>
        <w:rPr>
          <w:rFonts w:ascii="David" w:hAnsi="David" w:cs="David"/>
          <w:rtl w:val="true"/>
        </w:rPr>
        <w:t>שלפיה אין לנטרל את תרומת 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r>
        <w:rPr>
          <w:rFonts w:ascii="David" w:hAnsi="David" w:cs="David"/>
          <w:rtl w:val="true"/>
        </w:rPr>
        <w:t>משווי המצב הקודם</w:t>
      </w:r>
      <w:r>
        <w:rPr>
          <w:rFonts w:cs="David" w:ascii="David" w:hAnsi="David"/>
          <w:rtl w:val="true"/>
        </w:rPr>
        <w:t xml:space="preserve">, </w:t>
      </w:r>
      <w:r>
        <w:rPr>
          <w:rFonts w:ascii="David" w:hAnsi="David" w:cs="David"/>
          <w:rtl w:val="true"/>
        </w:rPr>
        <w:t>ויש לבחון שמאית את השפעתה על ציפיות השוק ועל המחיר שהיה משולם בעסקה בין מוכר מרצון לקונה מרצון</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לשיטתה</w:t>
      </w:r>
      <w:r>
        <w:rPr>
          <w:rFonts w:cs="David" w:ascii="David" w:hAnsi="David"/>
          <w:rtl w:val="true"/>
        </w:rPr>
        <w:t xml:space="preserve">, </w:t>
      </w:r>
      <w:r>
        <w:rPr>
          <w:rFonts w:ascii="David" w:hAnsi="David" w:cs="David"/>
          <w:rtl w:val="true"/>
        </w:rPr>
        <w:t>המבחן הקובע הוא מבחן שווי השוק</w:t>
      </w:r>
      <w:r>
        <w:rPr>
          <w:rFonts w:cs="David" w:ascii="David" w:hAnsi="David"/>
          <w:rtl w:val="true"/>
        </w:rPr>
        <w:t xml:space="preserve">. </w:t>
      </w:r>
      <w:r>
        <w:rPr>
          <w:rFonts w:ascii="David" w:hAnsi="David" w:cs="David"/>
          <w:rtl w:val="true"/>
        </w:rPr>
        <w:t>ככל שבמועד הקובע קונה סביר היה מייחס ערך לאפשרות לממש זכויות מכוח 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r>
        <w:rPr>
          <w:rFonts w:ascii="David" w:hAnsi="David" w:cs="David"/>
          <w:rtl w:val="true"/>
        </w:rPr>
        <w:t>יש לשקף ערך זה בשווי המצב הקודם</w:t>
      </w:r>
      <w:r>
        <w:rPr>
          <w:rFonts w:cs="David" w:ascii="David" w:hAnsi="David"/>
          <w:rtl w:val="true"/>
        </w:rPr>
        <w:t xml:space="preserve">. </w:t>
      </w:r>
    </w:p>
    <w:p>
      <w:pPr>
        <w:pStyle w:val="Heading1"/>
        <w:suppressLineNumbers/>
        <w:spacing w:lineRule="auto" w:line="360" w:before="240" w:after="240"/>
        <w:ind w:firstLine="510" w:end="0"/>
        <w:jc w:val="start"/>
        <w:rPr/>
      </w:pPr>
      <w:r>
        <w:rPr>
          <w:rtl w:val="true"/>
        </w:rPr>
        <w:t>דיון והכרעה</w:t>
      </w:r>
    </w:p>
    <w:p>
      <w:pPr>
        <w:pStyle w:val="Heading1"/>
        <w:suppressLineNumbers/>
        <w:spacing w:lineRule="auto" w:line="360" w:before="240" w:after="240"/>
        <w:ind w:firstLine="510" w:end="0"/>
        <w:jc w:val="start"/>
        <w:rPr/>
      </w:pPr>
      <w:r>
        <w:rPr>
          <w:rtl w:val="true"/>
        </w:rPr>
        <w:t>חישוב היטל ההשבחה</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 xml:space="preserve">בערר </w:t>
      </w:r>
      <w:r>
        <w:rPr>
          <w:rFonts w:cs="David" w:ascii="David" w:hAnsi="David"/>
          <w:rtl w:val="true"/>
        </w:rPr>
        <w:t>(</w:t>
      </w:r>
      <w:r>
        <w:rPr>
          <w:rFonts w:ascii="David" w:hAnsi="David" w:cs="David"/>
          <w:rtl w:val="true"/>
        </w:rPr>
        <w:t xml:space="preserve">ועדות ערר </w:t>
      </w:r>
      <w:r>
        <w:rPr>
          <w:rFonts w:cs="David" w:ascii="David" w:hAnsi="David"/>
          <w:rtl w:val="true"/>
        </w:rPr>
        <w:t xml:space="preserve">- </w:t>
      </w:r>
      <w:r>
        <w:rPr>
          <w:rFonts w:ascii="David" w:hAnsi="David" w:cs="David"/>
          <w:rtl w:val="true"/>
        </w:rPr>
        <w:t>תכנון ובנייה מרכז</w:t>
      </w:r>
      <w:r>
        <w:rPr>
          <w:rFonts w:cs="David" w:ascii="David" w:hAnsi="David"/>
          <w:rtl w:val="true"/>
        </w:rPr>
        <w:t xml:space="preserve">) </w:t>
      </w:r>
      <w:r>
        <w:rPr>
          <w:rFonts w:cs="David" w:ascii="David" w:hAnsi="David"/>
        </w:rPr>
        <w:t>8024-02-26</w:t>
      </w:r>
      <w:r>
        <w:rPr>
          <w:rFonts w:cs="David" w:ascii="David" w:hAnsi="David"/>
          <w:rtl w:val="true"/>
        </w:rPr>
        <w:t xml:space="preserve"> </w:t>
      </w:r>
      <w:r>
        <w:rPr>
          <w:rFonts w:ascii="Miriam" w:hAnsi="Miriam" w:cs="Miriam"/>
          <w:rtl w:val="true"/>
        </w:rPr>
        <w:t>א</w:t>
      </w:r>
      <w:r>
        <w:rPr>
          <w:rFonts w:cs="Miriam" w:ascii="Miriam" w:hAnsi="Miriam"/>
          <w:rtl w:val="true"/>
        </w:rPr>
        <w:t xml:space="preserve">. </w:t>
      </w:r>
      <w:r>
        <w:rPr>
          <w:rFonts w:ascii="Miriam" w:hAnsi="Miriam" w:cs="Miriam"/>
          <w:rtl w:val="true"/>
        </w:rPr>
        <w:t xml:space="preserve">גינאדי השקעות ובניה </w:t>
      </w:r>
      <w:r>
        <w:rPr>
          <w:rFonts w:cs="Miriam" w:ascii="Miriam" w:hAnsi="Miriam"/>
          <w:rtl w:val="true"/>
        </w:rPr>
        <w:t>(</w:t>
      </w:r>
      <w:r>
        <w:rPr>
          <w:rFonts w:cs="Miriam" w:ascii="Miriam" w:hAnsi="Miriam"/>
        </w:rPr>
        <w:t>1992</w:t>
      </w:r>
      <w:r>
        <w:rPr>
          <w:rFonts w:cs="Miriam" w:ascii="Miriam" w:hAnsi="Miriam"/>
          <w:rtl w:val="true"/>
        </w:rPr>
        <w:t xml:space="preserve">) </w:t>
      </w:r>
      <w:r>
        <w:rPr>
          <w:rFonts w:ascii="Miriam" w:hAnsi="Miriam" w:cs="Miriam"/>
          <w:rtl w:val="true"/>
        </w:rPr>
        <w:t>בע</w:t>
      </w:r>
      <w:r>
        <w:rPr>
          <w:rFonts w:cs="Miriam" w:ascii="Miriam" w:hAnsi="Miriam"/>
          <w:rtl w:val="true"/>
        </w:rPr>
        <w:t>"</w:t>
      </w:r>
      <w:r>
        <w:rPr>
          <w:rFonts w:ascii="Miriam" w:hAnsi="Miriam" w:cs="Miriam"/>
          <w:rtl w:val="true"/>
        </w:rPr>
        <w:t>מ נ</w:t>
      </w:r>
      <w:r>
        <w:rPr>
          <w:rFonts w:cs="Miriam" w:ascii="Miriam" w:hAnsi="Miriam"/>
          <w:rtl w:val="true"/>
        </w:rPr>
        <w:t xml:space="preserve">' </w:t>
      </w:r>
      <w:r>
        <w:rPr>
          <w:rFonts w:ascii="Miriam" w:hAnsi="Miriam" w:cs="Miriam"/>
          <w:rtl w:val="true"/>
        </w:rPr>
        <w:t>הוועדה המקומית לתכנון ובנייה נתניה</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20.8.2026</w:t>
      </w:r>
      <w:r>
        <w:rPr>
          <w:rFonts w:cs="David" w:ascii="David" w:hAnsi="David"/>
          <w:rtl w:val="true"/>
        </w:rPr>
        <w:t>) (</w:t>
      </w:r>
      <w:r>
        <w:rPr>
          <w:rFonts w:ascii="David" w:hAnsi="David" w:cs="David"/>
          <w:rtl w:val="true"/>
        </w:rPr>
        <w:t>להלן</w:t>
      </w:r>
      <w:r>
        <w:rPr>
          <w:rFonts w:cs="David" w:ascii="David" w:hAnsi="David"/>
          <w:rtl w:val="true"/>
        </w:rPr>
        <w:t>: "</w:t>
      </w:r>
      <w:r>
        <w:rPr>
          <w:rFonts w:ascii="Miriam" w:hAnsi="Miriam" w:cs="Miriam"/>
          <w:rtl w:val="true"/>
        </w:rPr>
        <w:t>עניין גינאדי</w:t>
      </w:r>
      <w:r>
        <w:rPr>
          <w:rFonts w:cs="David" w:ascii="David" w:hAnsi="David"/>
          <w:rtl w:val="true"/>
        </w:rPr>
        <w:t xml:space="preserve">"), </w:t>
      </w:r>
      <w:r>
        <w:rPr>
          <w:rFonts w:ascii="David" w:hAnsi="David" w:cs="David"/>
          <w:rtl w:val="true"/>
        </w:rPr>
        <w:t xml:space="preserve">נקבע כי פער של ממש בין שומת היטל ההשבחה לבין התחשיב הכלכלי שנערך בהתאם לתקן </w:t>
      </w:r>
      <w:r>
        <w:rPr>
          <w:rFonts w:cs="David" w:ascii="David" w:hAnsi="David"/>
        </w:rPr>
        <w:t>21</w:t>
      </w:r>
      <w:r>
        <w:rPr>
          <w:rFonts w:cs="David" w:ascii="David" w:hAnsi="David"/>
          <w:rtl w:val="true"/>
        </w:rPr>
        <w:t xml:space="preserve"> </w:t>
      </w:r>
      <w:r>
        <w:rPr>
          <w:rFonts w:ascii="David" w:hAnsi="David" w:cs="David"/>
          <w:rtl w:val="true"/>
        </w:rPr>
        <w:t>אינו עניין של מה בכך</w:t>
      </w:r>
      <w:r>
        <w:rPr>
          <w:rFonts w:cs="David" w:ascii="David" w:hAnsi="David"/>
          <w:rtl w:val="true"/>
        </w:rPr>
        <w:t xml:space="preserve">, </w:t>
      </w:r>
      <w:r>
        <w:rPr>
          <w:rFonts w:ascii="David" w:hAnsi="David" w:cs="David"/>
          <w:rtl w:val="true"/>
        </w:rPr>
        <w:t>וכי מקום שבו מתגלה פער כאמור</w:t>
      </w:r>
      <w:r>
        <w:rPr>
          <w:rFonts w:cs="David" w:ascii="David" w:hAnsi="David"/>
          <w:rtl w:val="true"/>
        </w:rPr>
        <w:t xml:space="preserve">, </w:t>
      </w:r>
      <w:r>
        <w:rPr>
          <w:rFonts w:ascii="David" w:hAnsi="David" w:cs="David"/>
          <w:rtl w:val="true"/>
        </w:rPr>
        <w:t>יש ליתן את הדעת למקורו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התשתית העיונית שביסוד מסקנה זו נפרשה בהרחבה שם</w:t>
      </w:r>
      <w:r>
        <w:rPr>
          <w:rFonts w:cs="David" w:ascii="David" w:hAnsi="David"/>
          <w:rtl w:val="true"/>
        </w:rPr>
        <w:t xml:space="preserve">, </w:t>
      </w:r>
      <w:r>
        <w:rPr>
          <w:rFonts w:ascii="David" w:hAnsi="David" w:cs="David"/>
          <w:rtl w:val="true"/>
        </w:rPr>
        <w:t>והמבקש להרחיב יעיין שם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בתמצית</w:t>
      </w:r>
      <w:r>
        <w:rPr>
          <w:rFonts w:cs="David" w:ascii="David" w:hAnsi="David"/>
          <w:rtl w:val="true"/>
        </w:rPr>
        <w:t xml:space="preserve">, </w:t>
      </w:r>
      <w:r>
        <w:rPr>
          <w:rFonts w:ascii="David" w:hAnsi="David" w:cs="David"/>
          <w:rtl w:val="true"/>
        </w:rPr>
        <w:t>שומת היטל השבחה נדרשת לבסס את עליית ערך המקרקעין עקב הפעולה התכנונית</w:t>
      </w:r>
      <w:r>
        <w:rPr>
          <w:rFonts w:cs="David" w:ascii="David" w:hAnsi="David"/>
          <w:rtl w:val="true"/>
        </w:rPr>
        <w:t xml:space="preserve">, </w:t>
      </w:r>
      <w:r>
        <w:rPr>
          <w:rFonts w:ascii="David" w:hAnsi="David" w:cs="David"/>
          <w:rtl w:val="true"/>
        </w:rPr>
        <w:t>למועד הקובע ובהתאם לדין</w:t>
      </w:r>
      <w:r>
        <w:rPr>
          <w:rFonts w:cs="David" w:ascii="David" w:hAnsi="David"/>
          <w:rtl w:val="true"/>
        </w:rPr>
        <w:t xml:space="preserve">. </w:t>
      </w:r>
      <w:r>
        <w:rPr>
          <w:rFonts w:ascii="David" w:hAnsi="David" w:cs="David"/>
          <w:rtl w:val="true"/>
        </w:rPr>
        <w:t xml:space="preserve">כאשר הוצג למוסד התכנון תחשיב כלכלי לפי תקן </w:t>
      </w:r>
      <w:r>
        <w:rPr>
          <w:rFonts w:cs="David" w:ascii="David" w:hAnsi="David"/>
        </w:rPr>
        <w:t>21</w:t>
      </w:r>
      <w:r>
        <w:rPr>
          <w:rFonts w:cs="David" w:ascii="David" w:hAnsi="David"/>
          <w:rtl w:val="true"/>
        </w:rPr>
        <w:t xml:space="preserve">, </w:t>
      </w:r>
      <w:r>
        <w:rPr>
          <w:rFonts w:ascii="David" w:hAnsi="David" w:cs="David"/>
          <w:rtl w:val="true"/>
        </w:rPr>
        <w:t>המתייחס לאותה תוכנית וכולל נתונים רלוונטיים לשווי הזכויות הנישומות</w:t>
      </w:r>
      <w:r>
        <w:rPr>
          <w:rFonts w:cs="David" w:ascii="David" w:hAnsi="David"/>
          <w:rtl w:val="true"/>
        </w:rPr>
        <w:t xml:space="preserve">, </w:t>
      </w:r>
      <w:r>
        <w:rPr>
          <w:rFonts w:ascii="David" w:hAnsi="David" w:cs="David"/>
          <w:rtl w:val="true"/>
        </w:rPr>
        <w:t>יש ליתן לו משקל בבחינת התשתית השמאית לחיוב</w:t>
      </w:r>
      <w:r>
        <w:rPr>
          <w:rFonts w:cs="David" w:ascii="David" w:hAnsi="David"/>
          <w:rtl w:val="true"/>
        </w:rPr>
        <w:t xml:space="preserve">, </w:t>
      </w:r>
      <w:r>
        <w:rPr>
          <w:rFonts w:ascii="David" w:hAnsi="David" w:cs="David"/>
          <w:rtl w:val="true"/>
        </w:rPr>
        <w:t>לפי מידת מהימנותו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אומדן ההיטל בתחשיב הכלכלי אינו קובע את החיוב ואינו חסין מתיקון</w:t>
      </w:r>
      <w:r>
        <w:rPr>
          <w:rFonts w:cs="David" w:ascii="David" w:hAnsi="David"/>
          <w:rtl w:val="true"/>
        </w:rPr>
        <w:t xml:space="preserve">. </w:t>
      </w:r>
      <w:r>
        <w:rPr>
          <w:rFonts w:ascii="David" w:hAnsi="David" w:cs="David"/>
          <w:rtl w:val="true"/>
        </w:rPr>
        <w:t>אולם</w:t>
      </w:r>
      <w:r>
        <w:rPr>
          <w:rFonts w:cs="David" w:ascii="David" w:hAnsi="David"/>
          <w:rtl w:val="true"/>
        </w:rPr>
        <w:t xml:space="preserve">, </w:t>
      </w:r>
      <w:r>
        <w:rPr>
          <w:rFonts w:ascii="David" w:hAnsi="David" w:cs="David"/>
          <w:rtl w:val="true"/>
        </w:rPr>
        <w:t>כאשר קיים פער מהותי בינו לבין שומת ההשבחה</w:t>
      </w:r>
      <w:r>
        <w:rPr>
          <w:rFonts w:cs="David" w:ascii="David" w:hAnsi="David"/>
          <w:rtl w:val="true"/>
        </w:rPr>
        <w:t xml:space="preserve">, </w:t>
      </w:r>
      <w:r>
        <w:rPr>
          <w:rFonts w:ascii="David" w:hAnsi="David" w:cs="David"/>
          <w:rtl w:val="true"/>
        </w:rPr>
        <w:t>יש להסביר את מקורותיו</w:t>
      </w:r>
      <w:r>
        <w:rPr>
          <w:rFonts w:cs="David" w:ascii="David" w:hAnsi="David"/>
          <w:rtl w:val="true"/>
        </w:rPr>
        <w:t xml:space="preserve">. </w:t>
      </w:r>
      <w:r>
        <w:rPr>
          <w:rFonts w:ascii="David" w:hAnsi="David" w:cs="David"/>
          <w:rtl w:val="true"/>
        </w:rPr>
        <w:t>ככל שהפער גדול יותר</w:t>
      </w:r>
      <w:r>
        <w:rPr>
          <w:rFonts w:cs="David" w:ascii="David" w:hAnsi="David"/>
          <w:rtl w:val="true"/>
        </w:rPr>
        <w:t xml:space="preserve">, </w:t>
      </w:r>
      <w:r>
        <w:rPr>
          <w:rFonts w:ascii="David" w:hAnsi="David" w:cs="David"/>
          <w:rtl w:val="true"/>
        </w:rPr>
        <w:t>כך נדרשת הנמקה מפורטת יותר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פער מהותי שנותר בלתי מוסבר אינו מוכיח שאומדן ההיטל בתחשיב הכלכלי הוא הנכון</w:t>
      </w:r>
      <w:r>
        <w:rPr>
          <w:rFonts w:cs="David" w:ascii="David" w:hAnsi="David"/>
          <w:rtl w:val="true"/>
        </w:rPr>
        <w:t xml:space="preserve">. </w:t>
      </w:r>
      <w:r>
        <w:rPr>
          <w:rFonts w:ascii="David" w:hAnsi="David" w:cs="David"/>
          <w:rtl w:val="true"/>
        </w:rPr>
        <w:t>עם זאת</w:t>
      </w:r>
      <w:r>
        <w:rPr>
          <w:rFonts w:cs="David" w:ascii="David" w:hAnsi="David"/>
          <w:rtl w:val="true"/>
        </w:rPr>
        <w:t xml:space="preserve">, </w:t>
      </w:r>
      <w:r>
        <w:rPr>
          <w:rFonts w:ascii="David" w:hAnsi="David" w:cs="David"/>
          <w:rtl w:val="true"/>
        </w:rPr>
        <w:t>הוא עשוי להעיד ששומת ההשבחה מייחסת לזכויות הנישומות תוספת ערך בלי להביא בחשבון במידה מספקת את העלויות ההכרחיות למימושן</w:t>
      </w:r>
      <w:r>
        <w:rPr>
          <w:rFonts w:cs="David" w:ascii="David" w:hAnsi="David"/>
          <w:rtl w:val="true"/>
        </w:rPr>
        <w:t xml:space="preserve">, </w:t>
      </w:r>
      <w:r>
        <w:rPr>
          <w:rFonts w:ascii="David" w:hAnsi="David" w:cs="David"/>
          <w:rtl w:val="true"/>
        </w:rPr>
        <w:t>אשר משפיעות על שוויין במועד הקובע</w:t>
      </w:r>
      <w:r>
        <w:rPr>
          <w:rFonts w:cs="David" w:ascii="David" w:hAnsi="David"/>
          <w:rtl w:val="true"/>
        </w:rPr>
        <w:t xml:space="preserve">. </w:t>
      </w:r>
      <w:r>
        <w:rPr>
          <w:rFonts w:ascii="David" w:hAnsi="David" w:cs="David"/>
          <w:rtl w:val="true"/>
        </w:rPr>
        <w:t>במקרה כזה עלולה השומה לכלול ערך שכנגדו עומדות עלויות מימוש</w:t>
      </w:r>
      <w:r>
        <w:rPr>
          <w:rFonts w:cs="David" w:ascii="David" w:hAnsi="David"/>
          <w:rtl w:val="true"/>
        </w:rPr>
        <w:t xml:space="preserve">, </w:t>
      </w:r>
      <w:r>
        <w:rPr>
          <w:rFonts w:ascii="David" w:hAnsi="David" w:cs="David"/>
          <w:rtl w:val="true"/>
        </w:rPr>
        <w:t>שלא הובאו בחשבון כנדרש</w:t>
      </w:r>
      <w:r>
        <w:rPr>
          <w:rFonts w:cs="David" w:ascii="David" w:hAnsi="David"/>
          <w:rtl w:val="true"/>
        </w:rPr>
        <w:t xml:space="preserve">, </w:t>
      </w:r>
      <w:r>
        <w:rPr>
          <w:rFonts w:ascii="David" w:hAnsi="David" w:cs="David"/>
          <w:rtl w:val="true"/>
        </w:rPr>
        <w:t>כך שהוא אינו משקף התעשרות הנובעת מהפעולה התכנונית</w:t>
      </w:r>
      <w:r>
        <w:rPr>
          <w:rFonts w:cs="David" w:ascii="David" w:hAnsi="David"/>
          <w:rtl w:val="true"/>
        </w:rPr>
        <w:t xml:space="preserve">. </w:t>
      </w:r>
      <w:r>
        <w:rPr>
          <w:rFonts w:ascii="David" w:hAnsi="David" w:cs="David"/>
          <w:rtl w:val="true"/>
        </w:rPr>
        <w:t>אפשרות זו מטילה ספק בסבירות התוצאה השמאית ומחייבת להשלים את הבירור וההנמקה לפני אימוצה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אם הפער הוסבר ונמצא כי מקורו בהבדלים רלוונטיים ומבוססים</w:t>
      </w:r>
      <w:r>
        <w:rPr>
          <w:rFonts w:cs="David" w:ascii="David" w:hAnsi="David"/>
          <w:rtl w:val="true"/>
        </w:rPr>
        <w:t xml:space="preserve">, </w:t>
      </w:r>
      <w:r>
        <w:rPr>
          <w:rFonts w:ascii="David" w:hAnsi="David" w:cs="David"/>
          <w:rtl w:val="true"/>
        </w:rPr>
        <w:t>ניתן לאמץ את תוצאת השומה גם אם היא שונה במידה ניכרת מהאומדן שבתחשיב הכלכלי</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במובן זה הבקרה פועלת לשני הכיוונים</w:t>
      </w:r>
      <w:r>
        <w:rPr>
          <w:rFonts w:cs="David" w:ascii="David" w:hAnsi="David"/>
          <w:rtl w:val="true"/>
        </w:rPr>
        <w:t xml:space="preserve">. </w:t>
      </w:r>
      <w:r>
        <w:rPr>
          <w:rFonts w:ascii="David" w:hAnsi="David" w:cs="David"/>
          <w:rtl w:val="true"/>
        </w:rPr>
        <w:t>תכליתה אינה להבטיח רווחיות ליזם</w:t>
      </w:r>
      <w:r>
        <w:rPr>
          <w:rFonts w:cs="David" w:ascii="David" w:hAnsi="David"/>
          <w:rtl w:val="true"/>
        </w:rPr>
        <w:t xml:space="preserve">, </w:t>
      </w:r>
      <w:r>
        <w:rPr>
          <w:rFonts w:ascii="David" w:hAnsi="David" w:cs="David"/>
          <w:rtl w:val="true"/>
        </w:rPr>
        <w:t>הכנסה לרשות המקומית או תוצאה מספרית שנקבעה מראש</w:t>
      </w:r>
      <w:r>
        <w:rPr>
          <w:rFonts w:cs="David" w:ascii="David" w:hAnsi="David"/>
          <w:rtl w:val="true"/>
        </w:rPr>
        <w:t xml:space="preserve">, </w:t>
      </w:r>
      <w:r>
        <w:rPr>
          <w:rFonts w:ascii="David" w:hAnsi="David" w:cs="David"/>
          <w:rtl w:val="true"/>
        </w:rPr>
        <w:t>אלא לקבוע את החיוב הנכון בהתאם להתעשרות שאירעה בפועל</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יישומו של כלל זה בענייננו מוביל למסקנה כי יש לאמץ את השומות המכריעות בחלופת הפטור</w:t>
      </w:r>
      <w:r>
        <w:rPr>
          <w:rFonts w:cs="David" w:ascii="David" w:hAnsi="David"/>
          <w:rtl w:val="true"/>
        </w:rPr>
        <w:t xml:space="preserve">, </w:t>
      </w:r>
      <w:r>
        <w:rPr>
          <w:rFonts w:ascii="David" w:hAnsi="David" w:cs="David"/>
          <w:rtl w:val="true"/>
        </w:rPr>
        <w:t>ונבאר עמדתנו להלן</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בדו</w:t>
      </w:r>
      <w:r>
        <w:rPr>
          <w:rFonts w:cs="David" w:ascii="David" w:hAnsi="David"/>
          <w:rtl w:val="true"/>
        </w:rPr>
        <w:t>"</w:t>
      </w:r>
      <w:r>
        <w:rPr>
          <w:rFonts w:ascii="David" w:hAnsi="David" w:cs="David"/>
          <w:rtl w:val="true"/>
        </w:rPr>
        <w:t>ח הכלכלי</w:t>
      </w:r>
      <w:r>
        <w:rPr>
          <w:rFonts w:cs="David" w:ascii="David" w:hAnsi="David"/>
          <w:rtl w:val="true"/>
        </w:rPr>
        <w:t xml:space="preserve">, </w:t>
      </w:r>
      <w:r>
        <w:rPr>
          <w:rFonts w:ascii="David" w:hAnsi="David" w:cs="David"/>
          <w:rtl w:val="true"/>
        </w:rPr>
        <w:t>כהגדרתו לעיל</w:t>
      </w:r>
      <w:r>
        <w:rPr>
          <w:rFonts w:cs="David" w:ascii="David" w:hAnsi="David"/>
          <w:rtl w:val="true"/>
        </w:rPr>
        <w:t xml:space="preserve">, </w:t>
      </w:r>
      <w:r>
        <w:rPr>
          <w:rFonts w:ascii="David" w:hAnsi="David" w:cs="David"/>
          <w:rtl w:val="true"/>
        </w:rPr>
        <w:t xml:space="preserve">נאמד היטל ההשבחה הצפוי בסך של </w:t>
      </w:r>
      <w:r>
        <w:rPr>
          <w:rFonts w:cs="David" w:ascii="David" w:hAnsi="David"/>
        </w:rPr>
        <w:t>9</w:t>
      </w:r>
      <w:r>
        <w:rPr>
          <w:rFonts w:cs="David" w:ascii="David" w:hAnsi="David"/>
          <w:rtl w:val="true"/>
        </w:rPr>
        <w:t xml:space="preserve"> </w:t>
      </w:r>
      <w:r>
        <w:rPr>
          <w:rFonts w:ascii="David" w:hAnsi="David" w:cs="David"/>
          <w:rtl w:val="true"/>
        </w:rPr>
        <w:t>מיליון ש</w:t>
      </w:r>
      <w:r>
        <w:rPr>
          <w:rFonts w:cs="David" w:ascii="David" w:hAnsi="David"/>
          <w:rtl w:val="true"/>
        </w:rPr>
        <w:t>"</w:t>
      </w:r>
      <w:r>
        <w:rPr>
          <w:rFonts w:ascii="David" w:hAnsi="David" w:cs="David"/>
          <w:rtl w:val="true"/>
        </w:rPr>
        <w:t>ח</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אם נניח</w:t>
      </w:r>
      <w:r>
        <w:rPr>
          <w:rFonts w:cs="David" w:ascii="David" w:hAnsi="David"/>
          <w:rtl w:val="true"/>
        </w:rPr>
        <w:t xml:space="preserve">, </w:t>
      </w:r>
      <w:r>
        <w:rPr>
          <w:rFonts w:ascii="David" w:hAnsi="David" w:cs="David"/>
          <w:rtl w:val="true"/>
        </w:rPr>
        <w:t>לצורך בחינת הסבירות בלבד</w:t>
      </w:r>
      <w:r>
        <w:rPr>
          <w:rFonts w:cs="David" w:ascii="David" w:hAnsi="David"/>
          <w:rtl w:val="true"/>
        </w:rPr>
        <w:t xml:space="preserve">, </w:t>
      </w:r>
      <w:r>
        <w:rPr>
          <w:rFonts w:ascii="David" w:hAnsi="David" w:cs="David"/>
          <w:rtl w:val="true"/>
        </w:rPr>
        <w:t>כי שווי המצב הקודם של המתחם כולו</w:t>
      </w:r>
      <w:r>
        <w:rPr>
          <w:rFonts w:cs="David" w:ascii="David" w:hAnsi="David"/>
          <w:rtl w:val="true"/>
        </w:rPr>
        <w:t xml:space="preserve">, </w:t>
      </w:r>
      <w:r>
        <w:rPr>
          <w:rFonts w:ascii="David" w:hAnsi="David" w:cs="David"/>
          <w:rtl w:val="true"/>
        </w:rPr>
        <w:t>כפי שנקבע בשומות המכריעות</w:t>
      </w:r>
      <w:r>
        <w:rPr>
          <w:rFonts w:cs="David" w:ascii="David" w:hAnsi="David"/>
          <w:rtl w:val="true"/>
        </w:rPr>
        <w:t xml:space="preserve">, </w:t>
      </w:r>
      <w:r>
        <w:rPr>
          <w:rFonts w:ascii="David" w:hAnsi="David" w:cs="David"/>
          <w:rtl w:val="true"/>
        </w:rPr>
        <w:t>עומד על כ</w:t>
      </w:r>
      <w:r>
        <w:rPr>
          <w:rFonts w:cs="David" w:ascii="David" w:hAnsi="David"/>
          <w:rtl w:val="true"/>
        </w:rPr>
        <w:t>-</w:t>
      </w:r>
      <w:r>
        <w:rPr>
          <w:rFonts w:cs="David" w:ascii="David" w:hAnsi="David"/>
        </w:rPr>
        <w:t>158.1</w:t>
      </w:r>
      <w:r>
        <w:rPr>
          <w:rFonts w:cs="David" w:ascii="David" w:hAnsi="David"/>
          <w:rtl w:val="true"/>
        </w:rPr>
        <w:t xml:space="preserve"> </w:t>
      </w:r>
      <w:r>
        <w:rPr>
          <w:rFonts w:ascii="David" w:hAnsi="David" w:cs="David"/>
          <w:rtl w:val="true"/>
        </w:rPr>
        <w:t>מיליון 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 xml:space="preserve">הרי שהיטל השבחה בסך של </w:t>
      </w:r>
      <w:r>
        <w:rPr>
          <w:rFonts w:cs="David" w:ascii="David" w:hAnsi="David"/>
        </w:rPr>
        <w:t>9</w:t>
      </w:r>
      <w:r>
        <w:rPr>
          <w:rFonts w:cs="David" w:ascii="David" w:hAnsi="David"/>
          <w:rtl w:val="true"/>
        </w:rPr>
        <w:t xml:space="preserve"> </w:t>
      </w:r>
      <w:r>
        <w:rPr>
          <w:rFonts w:ascii="David" w:hAnsi="David" w:cs="David"/>
          <w:rtl w:val="true"/>
        </w:rPr>
        <w:t>מיליון ש</w:t>
      </w:r>
      <w:r>
        <w:rPr>
          <w:rFonts w:cs="David" w:ascii="David" w:hAnsi="David"/>
          <w:rtl w:val="true"/>
        </w:rPr>
        <w:t>"</w:t>
      </w:r>
      <w:r>
        <w:rPr>
          <w:rFonts w:ascii="David" w:hAnsi="David" w:cs="David"/>
          <w:rtl w:val="true"/>
        </w:rPr>
        <w:t>ח מהווה כ</w:t>
      </w:r>
      <w:r>
        <w:rPr>
          <w:rFonts w:cs="David" w:ascii="David" w:hAnsi="David"/>
          <w:rtl w:val="true"/>
        </w:rPr>
        <w:t>-</w:t>
      </w:r>
      <w:r>
        <w:rPr>
          <w:rFonts w:cs="David" w:ascii="David" w:hAnsi="David"/>
        </w:rPr>
        <w:t>5.7%</w:t>
      </w:r>
      <w:r>
        <w:rPr>
          <w:rFonts w:cs="David" w:ascii="David" w:hAnsi="David"/>
          <w:rtl w:val="true"/>
        </w:rPr>
        <w:t xml:space="preserve"> </w:t>
      </w:r>
      <w:r>
        <w:rPr>
          <w:rFonts w:ascii="David" w:hAnsi="David" w:cs="David"/>
          <w:rtl w:val="true"/>
        </w:rPr>
        <w:t>משווי המצב הקודם</w:t>
      </w:r>
      <w:r>
        <w:rPr>
          <w:rFonts w:cs="David" w:ascii="David" w:hAnsi="David"/>
          <w:rtl w:val="true"/>
        </w:rPr>
        <w:t xml:space="preserve">, </w:t>
      </w:r>
      <w:r>
        <w:rPr>
          <w:rFonts w:ascii="David" w:hAnsi="David" w:cs="David"/>
          <w:rtl w:val="true"/>
        </w:rPr>
        <w:t>וההשבחה</w:t>
      </w:r>
      <w:r>
        <w:rPr>
          <w:rFonts w:cs="David" w:ascii="David" w:hAnsi="David"/>
          <w:rtl w:val="true"/>
        </w:rPr>
        <w:t xml:space="preserve">, </w:t>
      </w:r>
      <w:r>
        <w:rPr>
          <w:rFonts w:ascii="David" w:hAnsi="David" w:cs="David"/>
          <w:rtl w:val="true"/>
        </w:rPr>
        <w:t>שממנה נגזר ההיטל</w:t>
      </w:r>
      <w:r>
        <w:rPr>
          <w:rFonts w:cs="David" w:ascii="David" w:hAnsi="David"/>
          <w:rtl w:val="true"/>
        </w:rPr>
        <w:t xml:space="preserve">, </w:t>
      </w:r>
      <w:r>
        <w:rPr>
          <w:rFonts w:ascii="David" w:hAnsi="David" w:cs="David"/>
          <w:rtl w:val="true"/>
        </w:rPr>
        <w:t>בסך של כ</w:t>
      </w:r>
      <w:r>
        <w:rPr>
          <w:rFonts w:cs="David" w:ascii="David" w:hAnsi="David"/>
          <w:rtl w:val="true"/>
        </w:rPr>
        <w:t>-</w:t>
      </w:r>
      <w:r>
        <w:rPr>
          <w:rFonts w:cs="David" w:ascii="David" w:hAnsi="David"/>
        </w:rPr>
        <w:t>18</w:t>
      </w:r>
      <w:r>
        <w:rPr>
          <w:rFonts w:cs="David" w:ascii="David" w:hAnsi="David"/>
          <w:rtl w:val="true"/>
        </w:rPr>
        <w:t xml:space="preserve"> </w:t>
      </w:r>
      <w:r>
        <w:rPr>
          <w:rFonts w:ascii="David" w:hAnsi="David" w:cs="David"/>
          <w:rtl w:val="true"/>
        </w:rPr>
        <w:t>מיליון 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מהווה כ</w:t>
      </w:r>
      <w:r>
        <w:rPr>
          <w:rFonts w:cs="David" w:ascii="David" w:hAnsi="David"/>
          <w:rtl w:val="true"/>
        </w:rPr>
        <w:t>-</w:t>
      </w:r>
      <w:r>
        <w:rPr>
          <w:rFonts w:cs="David" w:ascii="David" w:hAnsi="David"/>
        </w:rPr>
        <w:t>11.4%</w:t>
      </w:r>
      <w:r>
        <w:rPr>
          <w:rFonts w:cs="David" w:ascii="David" w:hAnsi="David"/>
          <w:rtl w:val="true"/>
        </w:rPr>
        <w:t xml:space="preserve"> </w:t>
      </w:r>
      <w:r>
        <w:rPr>
          <w:rFonts w:ascii="David" w:hAnsi="David" w:cs="David"/>
          <w:rtl w:val="true"/>
        </w:rPr>
        <w:t>משווי המצב הקודם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בין מועד עריכת הדו</w:t>
      </w:r>
      <w:r>
        <w:rPr>
          <w:rFonts w:cs="David" w:ascii="David" w:hAnsi="David"/>
          <w:rtl w:val="true"/>
        </w:rPr>
        <w:t>"</w:t>
      </w:r>
      <w:r>
        <w:rPr>
          <w:rFonts w:ascii="David" w:hAnsi="David" w:cs="David"/>
          <w:rtl w:val="true"/>
        </w:rPr>
        <w:t>ח הכלכלי</w:t>
      </w:r>
      <w:r>
        <w:rPr>
          <w:rFonts w:cs="David" w:ascii="David" w:hAnsi="David"/>
          <w:rtl w:val="true"/>
        </w:rPr>
        <w:t xml:space="preserve">, </w:t>
      </w:r>
      <w:r>
        <w:rPr>
          <w:rFonts w:ascii="David" w:hAnsi="David" w:cs="David"/>
          <w:rtl w:val="true"/>
        </w:rPr>
        <w:t xml:space="preserve">ביום </w:t>
      </w:r>
      <w:r>
        <w:rPr>
          <w:rFonts w:cs="David" w:ascii="David" w:hAnsi="David"/>
        </w:rPr>
        <w:t>19.9.2021</w:t>
      </w:r>
      <w:r>
        <w:rPr>
          <w:rFonts w:cs="David" w:ascii="David" w:hAnsi="David"/>
          <w:rtl w:val="true"/>
        </w:rPr>
        <w:t xml:space="preserve">, </w:t>
      </w:r>
      <w:r>
        <w:rPr>
          <w:rFonts w:ascii="David" w:hAnsi="David" w:cs="David"/>
          <w:rtl w:val="true"/>
        </w:rPr>
        <w:t>לבין מועד תחילתה של התוכנית</w:t>
      </w:r>
      <w:r>
        <w:rPr>
          <w:rFonts w:cs="David" w:ascii="David" w:hAnsi="David"/>
          <w:rtl w:val="true"/>
        </w:rPr>
        <w:t xml:space="preserve">, </w:t>
      </w:r>
      <w:r>
        <w:rPr>
          <w:rFonts w:ascii="David" w:hAnsi="David" w:cs="David"/>
          <w:rtl w:val="true"/>
        </w:rPr>
        <w:t xml:space="preserve">ביום </w:t>
      </w:r>
      <w:r>
        <w:rPr>
          <w:rFonts w:cs="David" w:ascii="David" w:hAnsi="David"/>
        </w:rPr>
        <w:t>23.9.2022</w:t>
      </w:r>
      <w:r>
        <w:rPr>
          <w:rFonts w:cs="David" w:ascii="David" w:hAnsi="David"/>
          <w:rtl w:val="true"/>
        </w:rPr>
        <w:t xml:space="preserve">, </w:t>
      </w:r>
      <w:r>
        <w:rPr>
          <w:rFonts w:ascii="David" w:hAnsi="David" w:cs="David"/>
          <w:rtl w:val="true"/>
        </w:rPr>
        <w:t>חלפה כשנה בלבד</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ככל שבמהלך תקופה זו חל שינוי ריאלי בשוק המגורים בסביבה הרלוונטית</w:t>
      </w:r>
      <w:r>
        <w:rPr>
          <w:rFonts w:cs="David" w:ascii="David" w:hAnsi="David"/>
          <w:rtl w:val="true"/>
        </w:rPr>
        <w:t xml:space="preserve">, </w:t>
      </w:r>
      <w:r>
        <w:rPr>
          <w:rFonts w:ascii="David" w:hAnsi="David" w:cs="David"/>
          <w:rtl w:val="true"/>
        </w:rPr>
        <w:t>יש להביאו בחשבון</w:t>
      </w:r>
      <w:r>
        <w:rPr>
          <w:rFonts w:cs="David" w:ascii="David" w:hAnsi="David"/>
          <w:rtl w:val="true"/>
        </w:rPr>
        <w:t xml:space="preserve">. </w:t>
      </w:r>
      <w:r>
        <w:rPr>
          <w:rFonts w:ascii="Miriam" w:hAnsi="Miriam" w:cs="Miriam"/>
          <w:rtl w:val="true"/>
        </w:rPr>
        <w:t>בעניין גינאדי</w:t>
      </w:r>
      <w:r>
        <w:rPr>
          <w:rFonts w:ascii="David" w:hAnsi="David" w:cs="David"/>
          <w:rtl w:val="true"/>
        </w:rPr>
        <w:t xml:space="preserve"> הומחש הדבר באמצעות הדוגמה הבאה</w:t>
      </w:r>
      <w:r>
        <w:rPr>
          <w:rFonts w:cs="David" w:ascii="David" w:hAnsi="David"/>
          <w:rtl w:val="true"/>
        </w:rPr>
        <w:t xml:space="preserve">: </w:t>
      </w:r>
      <w:r>
        <w:rPr>
          <w:rFonts w:ascii="David" w:hAnsi="David" w:cs="David"/>
          <w:rtl w:val="true"/>
        </w:rPr>
        <w:t xml:space="preserve">נניח כי מחירי הדירות עלו בשיעור נומינלי של </w:t>
      </w:r>
      <w:r>
        <w:rPr>
          <w:rFonts w:cs="David" w:ascii="David" w:hAnsi="David"/>
        </w:rPr>
        <w:t>8%</w:t>
      </w:r>
      <w:r>
        <w:rPr>
          <w:rFonts w:cs="David" w:ascii="David" w:hAnsi="David"/>
          <w:rtl w:val="true"/>
        </w:rPr>
        <w:t xml:space="preserve">, </w:t>
      </w:r>
      <w:r>
        <w:rPr>
          <w:rFonts w:ascii="David" w:hAnsi="David" w:cs="David"/>
          <w:rtl w:val="true"/>
        </w:rPr>
        <w:t xml:space="preserve">ובניכוי השינוי במדד הכללי משקפת עלייה זו גידול ריאלי של </w:t>
      </w:r>
      <w:r>
        <w:rPr>
          <w:rFonts w:cs="David" w:ascii="David" w:hAnsi="David"/>
        </w:rPr>
        <w:t>4.5%</w:t>
      </w:r>
      <w:r>
        <w:rPr>
          <w:rFonts w:cs="David" w:ascii="David" w:hAnsi="David"/>
          <w:rtl w:val="true"/>
        </w:rPr>
        <w:t xml:space="preserve">. </w:t>
      </w:r>
      <w:r>
        <w:rPr>
          <w:rFonts w:ascii="David" w:hAnsi="David" w:cs="David"/>
          <w:rtl w:val="true"/>
        </w:rPr>
        <w:t>עתה</w:t>
      </w:r>
      <w:r>
        <w:rPr>
          <w:rFonts w:cs="David" w:ascii="David" w:hAnsi="David"/>
          <w:rtl w:val="true"/>
        </w:rPr>
        <w:t xml:space="preserve">, </w:t>
      </w:r>
      <w:r>
        <w:rPr>
          <w:rFonts w:ascii="David" w:hAnsi="David" w:cs="David"/>
          <w:rtl w:val="true"/>
        </w:rPr>
        <w:t>בהנחה שתשומות הבנייה נותרו באותה תקופה יציבות במונחים ריאליים</w:t>
      </w:r>
      <w:r>
        <w:rPr>
          <w:rFonts w:cs="David" w:ascii="David" w:hAnsi="David"/>
          <w:rtl w:val="true"/>
        </w:rPr>
        <w:t xml:space="preserve">, </w:t>
      </w:r>
      <w:r>
        <w:rPr>
          <w:rFonts w:ascii="David" w:hAnsi="David" w:cs="David"/>
          <w:rtl w:val="true"/>
        </w:rPr>
        <w:t>ניתן לצפות כי היטל ההשבחה במועד הקובע יהיה גבוה מההיטל שהובא בדו</w:t>
      </w:r>
      <w:r>
        <w:rPr>
          <w:rFonts w:cs="David" w:ascii="David" w:hAnsi="David"/>
          <w:rtl w:val="true"/>
        </w:rPr>
        <w:t>"</w:t>
      </w:r>
      <w:r>
        <w:rPr>
          <w:rFonts w:ascii="David" w:hAnsi="David" w:cs="David"/>
          <w:rtl w:val="true"/>
        </w:rPr>
        <w:t>ח הכלכלי</w:t>
      </w:r>
      <w:r>
        <w:rPr>
          <w:rFonts w:cs="David" w:ascii="David" w:hAnsi="David"/>
          <w:rtl w:val="true"/>
        </w:rPr>
        <w:t xml:space="preserve">, </w:t>
      </w:r>
      <w:r>
        <w:rPr>
          <w:rFonts w:ascii="David" w:hAnsi="David" w:cs="David"/>
          <w:rtl w:val="true"/>
        </w:rPr>
        <w:t xml:space="preserve">וזאת בשיעור דומה לשיעור העלייה הריאלית במחירי הדירות </w:t>
      </w:r>
      <w:r>
        <w:rPr>
          <w:rFonts w:cs="David" w:ascii="David" w:hAnsi="David"/>
          <w:rtl w:val="true"/>
        </w:rPr>
        <w:t>(</w:t>
      </w:r>
      <w:r>
        <w:rPr>
          <w:rFonts w:cs="David" w:ascii="David" w:hAnsi="David"/>
        </w:rPr>
        <w:t>4.5%</w:t>
      </w:r>
      <w:r>
        <w:rPr>
          <w:rFonts w:cs="David" w:ascii="David" w:hAnsi="David"/>
          <w:rtl w:val="true"/>
        </w:rPr>
        <w:t xml:space="preserve">), </w:t>
      </w:r>
      <w:r>
        <w:rPr>
          <w:rFonts w:ascii="David" w:hAnsi="David" w:cs="David"/>
          <w:rtl w:val="true"/>
        </w:rPr>
        <w:t>ואף בשיעור גבוה ממנו במידת מה</w:t>
      </w:r>
      <w:r>
        <w:rPr>
          <w:rFonts w:cs="David" w:ascii="David" w:hAnsi="David"/>
          <w:rtl w:val="true"/>
        </w:rPr>
        <w:t xml:space="preserve">, </w:t>
      </w:r>
      <w:r>
        <w:rPr>
          <w:rFonts w:ascii="David" w:hAnsi="David" w:cs="David"/>
          <w:rtl w:val="true"/>
        </w:rPr>
        <w:t>זאת לנוכח אופיו השאריתי של שווי הקרקע</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לחלופין</w:t>
      </w:r>
      <w:r>
        <w:rPr>
          <w:rFonts w:cs="David" w:ascii="David" w:hAnsi="David"/>
          <w:rtl w:val="true"/>
        </w:rPr>
        <w:t xml:space="preserve">, </w:t>
      </w:r>
      <w:r>
        <w:rPr>
          <w:rFonts w:ascii="David" w:hAnsi="David" w:cs="David"/>
          <w:rtl w:val="true"/>
        </w:rPr>
        <w:t>ככל שקיימת תשתית נתונים מספקת</w:t>
      </w:r>
      <w:r>
        <w:rPr>
          <w:rFonts w:cs="David" w:ascii="David" w:hAnsi="David"/>
          <w:rtl w:val="true"/>
        </w:rPr>
        <w:t xml:space="preserve">, </w:t>
      </w:r>
      <w:r>
        <w:rPr>
          <w:rFonts w:ascii="David" w:hAnsi="David" w:cs="David"/>
          <w:rtl w:val="true"/>
        </w:rPr>
        <w:t>ניתן לבחון את השינוי שחל ברכיב הקרקע כשלעצמו</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לצורך ההמחשה נניח כי השפעת העלייה במחירי הדירות</w:t>
      </w:r>
      <w:r>
        <w:rPr>
          <w:rFonts w:cs="David" w:ascii="David" w:hAnsi="David"/>
          <w:rtl w:val="true"/>
        </w:rPr>
        <w:t xml:space="preserve">, </w:t>
      </w:r>
      <w:r>
        <w:rPr>
          <w:rFonts w:ascii="David" w:hAnsi="David" w:cs="David"/>
          <w:rtl w:val="true"/>
        </w:rPr>
        <w:t>או לחלופין העלייה בשווי רכיב הקרקע</w:t>
      </w:r>
      <w:r>
        <w:rPr>
          <w:rFonts w:cs="David" w:ascii="David" w:hAnsi="David"/>
          <w:rtl w:val="true"/>
        </w:rPr>
        <w:t xml:space="preserve">, </w:t>
      </w:r>
      <w:r>
        <w:rPr>
          <w:rFonts w:ascii="David" w:hAnsi="David" w:cs="David"/>
          <w:rtl w:val="true"/>
        </w:rPr>
        <w:t>הייתה מביאה לכך שהיטל השבחה בדו</w:t>
      </w:r>
      <w:r>
        <w:rPr>
          <w:rFonts w:cs="David" w:ascii="David" w:hAnsi="David"/>
          <w:rtl w:val="true"/>
        </w:rPr>
        <w:t>"</w:t>
      </w:r>
      <w:r>
        <w:rPr>
          <w:rFonts w:ascii="David" w:hAnsi="David" w:cs="David"/>
          <w:rtl w:val="true"/>
        </w:rPr>
        <w:t>ח כלכלי שנערך כשנה מאוחר יותר</w:t>
      </w:r>
      <w:r>
        <w:rPr>
          <w:rFonts w:cs="David" w:ascii="David" w:hAnsi="David"/>
          <w:rtl w:val="true"/>
        </w:rPr>
        <w:t xml:space="preserve">, </w:t>
      </w:r>
      <w:r>
        <w:rPr>
          <w:rFonts w:ascii="David" w:hAnsi="David" w:cs="David"/>
          <w:rtl w:val="true"/>
        </w:rPr>
        <w:t>היה גבוה בכ</w:t>
      </w:r>
      <w:r>
        <w:rPr>
          <w:rFonts w:cs="David" w:ascii="David" w:hAnsi="David"/>
          <w:rtl w:val="true"/>
        </w:rPr>
        <w:t>-</w:t>
      </w:r>
      <w:r>
        <w:rPr>
          <w:rFonts w:cs="David" w:ascii="David" w:hAnsi="David"/>
        </w:rPr>
        <w:t>6%</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 xml:space="preserve">עוד נניח כי שינוי זה היה מביא לכך ששיעור ההשבחה המתקבל בבדיקה לפי תקן </w:t>
      </w:r>
      <w:r>
        <w:rPr>
          <w:rFonts w:cs="David" w:ascii="David" w:hAnsi="David"/>
        </w:rPr>
        <w:t>21</w:t>
      </w:r>
      <w:r>
        <w:rPr>
          <w:rFonts w:cs="David" w:ascii="David" w:hAnsi="David"/>
          <w:rtl w:val="true"/>
        </w:rPr>
        <w:t xml:space="preserve"> </w:t>
      </w:r>
      <w:r>
        <w:rPr>
          <w:rFonts w:ascii="David" w:hAnsi="David" w:cs="David"/>
          <w:rtl w:val="true"/>
        </w:rPr>
        <w:t>היה עולה מכ</w:t>
      </w:r>
      <w:r>
        <w:rPr>
          <w:rFonts w:cs="David" w:ascii="David" w:hAnsi="David"/>
          <w:rtl w:val="true"/>
        </w:rPr>
        <w:t>-</w:t>
      </w:r>
      <w:r>
        <w:rPr>
          <w:rFonts w:cs="David" w:ascii="David" w:hAnsi="David"/>
        </w:rPr>
        <w:t>11.4%</w:t>
      </w:r>
      <w:r>
        <w:rPr>
          <w:rFonts w:cs="David" w:ascii="David" w:hAnsi="David"/>
          <w:rtl w:val="true"/>
        </w:rPr>
        <w:t xml:space="preserve"> </w:t>
      </w:r>
      <w:r>
        <w:rPr>
          <w:rFonts w:ascii="David" w:hAnsi="David" w:cs="David"/>
          <w:rtl w:val="true"/>
        </w:rPr>
        <w:t>לכ</w:t>
      </w:r>
      <w:r>
        <w:rPr>
          <w:rFonts w:cs="David" w:ascii="David" w:hAnsi="David"/>
          <w:rtl w:val="true"/>
        </w:rPr>
        <w:t>-</w:t>
      </w:r>
      <w:r>
        <w:rPr>
          <w:rFonts w:cs="David" w:ascii="David" w:hAnsi="David"/>
        </w:rPr>
        <w:t>15%</w:t>
      </w:r>
      <w:r>
        <w:rPr>
          <w:rFonts w:cs="David" w:ascii="David" w:hAnsi="David"/>
          <w:rtl w:val="true"/>
        </w:rPr>
        <w:t xml:space="preserve">. </w:t>
      </w:r>
      <w:r>
        <w:rPr>
          <w:rFonts w:ascii="David" w:hAnsi="David" w:cs="David"/>
          <w:rtl w:val="true"/>
        </w:rPr>
        <w:t>בהתאם לכך</w:t>
      </w:r>
      <w:r>
        <w:rPr>
          <w:rFonts w:cs="David" w:ascii="David" w:hAnsi="David"/>
          <w:rtl w:val="true"/>
        </w:rPr>
        <w:t xml:space="preserve">, </w:t>
      </w:r>
      <w:r>
        <w:rPr>
          <w:rFonts w:ascii="David" w:hAnsi="David" w:cs="David"/>
          <w:rtl w:val="true"/>
        </w:rPr>
        <w:t>ההשבחה הנומינלית לצורך תחשיב הסבירות הייתה עומדת על כ</w:t>
      </w:r>
      <w:r>
        <w:rPr>
          <w:rFonts w:cs="David" w:ascii="David" w:hAnsi="David"/>
          <w:rtl w:val="true"/>
        </w:rPr>
        <w:t>-</w:t>
      </w:r>
      <w:r>
        <w:rPr>
          <w:rFonts w:cs="David" w:ascii="David" w:hAnsi="David"/>
        </w:rPr>
        <w:t>25.6</w:t>
      </w:r>
      <w:r>
        <w:rPr>
          <w:rFonts w:cs="David" w:ascii="David" w:hAnsi="David"/>
          <w:rtl w:val="true"/>
        </w:rPr>
        <w:t xml:space="preserve"> </w:t>
      </w:r>
      <w:r>
        <w:rPr>
          <w:rFonts w:ascii="David" w:hAnsi="David" w:cs="David"/>
          <w:rtl w:val="true"/>
        </w:rPr>
        <w:t>מיליון ש</w:t>
      </w:r>
      <w:r>
        <w:rPr>
          <w:rFonts w:cs="David" w:ascii="David" w:hAnsi="David"/>
          <w:rtl w:val="true"/>
        </w:rPr>
        <w:t>"</w:t>
      </w:r>
      <w:r>
        <w:rPr>
          <w:rFonts w:ascii="David" w:hAnsi="David" w:cs="David"/>
          <w:rtl w:val="true"/>
        </w:rPr>
        <w:t>ח</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סכום זה מהווה כ</w:t>
      </w:r>
      <w:r>
        <w:rPr>
          <w:rFonts w:cs="David" w:ascii="David" w:hAnsi="David"/>
          <w:rtl w:val="true"/>
        </w:rPr>
        <w:t>-</w:t>
      </w:r>
      <w:r>
        <w:rPr>
          <w:rFonts w:cs="David" w:ascii="David" w:hAnsi="David"/>
        </w:rPr>
        <w:t>15%</w:t>
      </w:r>
      <w:r>
        <w:rPr>
          <w:rFonts w:cs="David" w:ascii="David" w:hAnsi="David"/>
          <w:rtl w:val="true"/>
        </w:rPr>
        <w:t xml:space="preserve"> </w:t>
      </w:r>
      <w:r>
        <w:rPr>
          <w:rFonts w:ascii="David" w:hAnsi="David" w:cs="David"/>
          <w:rtl w:val="true"/>
        </w:rPr>
        <w:t>משווי המצב הקודם</w:t>
      </w:r>
      <w:r>
        <w:rPr>
          <w:rFonts w:cs="David" w:ascii="David" w:hAnsi="David"/>
          <w:rtl w:val="true"/>
        </w:rPr>
        <w:t xml:space="preserve">, </w:t>
      </w:r>
      <w:r>
        <w:rPr>
          <w:rFonts w:ascii="David" w:hAnsi="David" w:cs="David"/>
          <w:rtl w:val="true"/>
        </w:rPr>
        <w:t>אשר עלה בינתיים מכ</w:t>
      </w:r>
      <w:r>
        <w:rPr>
          <w:rFonts w:cs="David" w:ascii="David" w:hAnsi="David"/>
          <w:rtl w:val="true"/>
        </w:rPr>
        <w:t>-</w:t>
      </w:r>
      <w:r>
        <w:rPr>
          <w:rFonts w:cs="David" w:ascii="David" w:hAnsi="David"/>
        </w:rPr>
        <w:t>158.1</w:t>
      </w:r>
      <w:r>
        <w:rPr>
          <w:rFonts w:cs="David" w:ascii="David" w:hAnsi="David"/>
          <w:rtl w:val="true"/>
        </w:rPr>
        <w:t xml:space="preserve"> </w:t>
      </w:r>
      <w:r>
        <w:rPr>
          <w:rFonts w:ascii="David" w:hAnsi="David" w:cs="David"/>
          <w:rtl w:val="true"/>
        </w:rPr>
        <w:t>מיליון ש</w:t>
      </w:r>
      <w:r>
        <w:rPr>
          <w:rFonts w:cs="David" w:ascii="David" w:hAnsi="David"/>
          <w:rtl w:val="true"/>
        </w:rPr>
        <w:t>"</w:t>
      </w:r>
      <w:r>
        <w:rPr>
          <w:rFonts w:ascii="David" w:hAnsi="David" w:cs="David"/>
          <w:rtl w:val="true"/>
        </w:rPr>
        <w:t>ח לכ</w:t>
      </w:r>
      <w:r>
        <w:rPr>
          <w:rFonts w:cs="David" w:ascii="David" w:hAnsi="David"/>
          <w:rtl w:val="true"/>
        </w:rPr>
        <w:t>-</w:t>
      </w:r>
      <w:r>
        <w:rPr>
          <w:rFonts w:cs="David" w:ascii="David" w:hAnsi="David"/>
        </w:rPr>
        <w:t>170.7</w:t>
      </w:r>
      <w:r>
        <w:rPr>
          <w:rFonts w:cs="David" w:ascii="David" w:hAnsi="David"/>
          <w:rtl w:val="true"/>
        </w:rPr>
        <w:t xml:space="preserve"> </w:t>
      </w:r>
      <w:r>
        <w:rPr>
          <w:rFonts w:ascii="David" w:hAnsi="David" w:cs="David"/>
          <w:rtl w:val="true"/>
        </w:rPr>
        <w:t>מיליון 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בהנחה של עלייה נומינלית בשיעור של כ</w:t>
      </w:r>
      <w:r>
        <w:rPr>
          <w:rFonts w:cs="David" w:ascii="David" w:hAnsi="David"/>
          <w:rtl w:val="true"/>
        </w:rPr>
        <w:t>-</w:t>
      </w:r>
      <w:r>
        <w:rPr>
          <w:rFonts w:cs="David" w:ascii="David" w:hAnsi="David"/>
        </w:rPr>
        <w:t>8%</w:t>
      </w:r>
      <w:r>
        <w:rPr>
          <w:rFonts w:cs="David" w:ascii="David" w:hAnsi="David"/>
          <w:rtl w:val="true"/>
        </w:rPr>
        <w:t xml:space="preserve"> </w:t>
      </w:r>
      <w:r>
        <w:rPr>
          <w:rFonts w:ascii="David" w:hAnsi="David" w:cs="David"/>
          <w:rtl w:val="true"/>
        </w:rPr>
        <w:t>במחירי הדירות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היטל ההשבחה הצפוי לפי בדיקת הסבירות בדוגמה זו עומד על כ</w:t>
      </w:r>
      <w:r>
        <w:rPr>
          <w:rFonts w:cs="David" w:ascii="David" w:hAnsi="David"/>
          <w:rtl w:val="true"/>
        </w:rPr>
        <w:t>-</w:t>
      </w:r>
      <w:r>
        <w:rPr>
          <w:rFonts w:cs="David" w:ascii="David" w:hAnsi="David"/>
        </w:rPr>
        <w:t>12.8</w:t>
      </w:r>
      <w:r>
        <w:rPr>
          <w:rFonts w:cs="David" w:ascii="David" w:hAnsi="David"/>
          <w:rtl w:val="true"/>
        </w:rPr>
        <w:t xml:space="preserve"> </w:t>
      </w:r>
      <w:r>
        <w:rPr>
          <w:rFonts w:ascii="David" w:hAnsi="David" w:cs="David"/>
          <w:rtl w:val="true"/>
        </w:rPr>
        <w:t>מיליון ש</w:t>
      </w:r>
      <w:r>
        <w:rPr>
          <w:rFonts w:cs="David" w:ascii="David" w:hAnsi="David"/>
          <w:rtl w:val="true"/>
        </w:rPr>
        <w:t>"</w:t>
      </w:r>
      <w:r>
        <w:rPr>
          <w:rFonts w:ascii="David" w:hAnsi="David" w:cs="David"/>
          <w:rtl w:val="true"/>
        </w:rPr>
        <w:t>ח</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בענייננו</w:t>
      </w:r>
      <w:r>
        <w:rPr>
          <w:rFonts w:cs="David" w:ascii="David" w:hAnsi="David"/>
          <w:rtl w:val="true"/>
        </w:rPr>
        <w:t xml:space="preserve">, </w:t>
      </w:r>
      <w:r>
        <w:rPr>
          <w:rFonts w:ascii="David" w:hAnsi="David" w:cs="David"/>
          <w:rtl w:val="true"/>
        </w:rPr>
        <w:t>סכום ההשבחה המצרפי המתקבל מהשומות המכריעות</w:t>
      </w:r>
      <w:r>
        <w:rPr>
          <w:rFonts w:cs="David" w:ascii="David" w:hAnsi="David"/>
          <w:rtl w:val="true"/>
        </w:rPr>
        <w:t xml:space="preserve">, </w:t>
      </w:r>
      <w:r>
        <w:rPr>
          <w:rFonts w:ascii="David" w:hAnsi="David" w:cs="David"/>
          <w:rtl w:val="true"/>
        </w:rPr>
        <w:t>בהיעדר פטור בגין שטחי המרחבים המוגנים</w:t>
      </w:r>
      <w:r>
        <w:rPr>
          <w:rFonts w:cs="David" w:ascii="David" w:hAnsi="David"/>
          <w:rtl w:val="true"/>
        </w:rPr>
        <w:t xml:space="preserve">, </w:t>
      </w:r>
      <w:r>
        <w:rPr>
          <w:rFonts w:ascii="David" w:hAnsi="David" w:cs="David"/>
          <w:rtl w:val="true"/>
        </w:rPr>
        <w:t xml:space="preserve">עומד על </w:t>
      </w:r>
      <w:r>
        <w:rPr>
          <w:rFonts w:cs="David" w:ascii="David" w:hAnsi="David"/>
        </w:rPr>
        <w:t>40,214,476</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והוא מהווה כ</w:t>
      </w:r>
      <w:r>
        <w:rPr>
          <w:rFonts w:cs="David" w:ascii="David" w:hAnsi="David"/>
          <w:rtl w:val="true"/>
        </w:rPr>
        <w:t>-</w:t>
      </w:r>
      <w:r>
        <w:rPr>
          <w:rFonts w:cs="David" w:ascii="David" w:hAnsi="David"/>
        </w:rPr>
        <w:t>20%</w:t>
      </w:r>
      <w:r>
        <w:rPr>
          <w:rFonts w:cs="David" w:ascii="David" w:hAnsi="David"/>
          <w:rtl w:val="true"/>
        </w:rPr>
        <w:t xml:space="preserve"> </w:t>
      </w:r>
      <w:r>
        <w:rPr>
          <w:rFonts w:ascii="David" w:hAnsi="David" w:cs="David"/>
          <w:rtl w:val="true"/>
        </w:rPr>
        <w:t>משווי המצב הקודם כפי שנקבע בשומות המכריעות</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אם נחריג את שטחי המרחבים המוגנים מהתחשיב</w:t>
      </w:r>
      <w:r>
        <w:rPr>
          <w:rFonts w:cs="David" w:ascii="David" w:hAnsi="David"/>
          <w:rtl w:val="true"/>
        </w:rPr>
        <w:t xml:space="preserve">, </w:t>
      </w:r>
      <w:r>
        <w:rPr>
          <w:rFonts w:ascii="David" w:hAnsi="David" w:cs="David"/>
          <w:rtl w:val="true"/>
        </w:rPr>
        <w:t xml:space="preserve">סכום ההשבחה המצרפי המתקבל מהשומות המכריעות עומד על </w:t>
      </w:r>
      <w:r>
        <w:rPr>
          <w:rFonts w:cs="David" w:ascii="David" w:hAnsi="David"/>
        </w:rPr>
        <w:t>20,900,650</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ומהווה כ</w:t>
      </w:r>
      <w:r>
        <w:rPr>
          <w:rFonts w:cs="David" w:ascii="David" w:hAnsi="David"/>
          <w:rtl w:val="true"/>
        </w:rPr>
        <w:t>-</w:t>
      </w:r>
      <w:r>
        <w:rPr>
          <w:rFonts w:cs="David" w:ascii="David" w:hAnsi="David"/>
        </w:rPr>
        <w:t>13%</w:t>
      </w:r>
      <w:r>
        <w:rPr>
          <w:rFonts w:cs="David" w:ascii="David" w:hAnsi="David"/>
          <w:rtl w:val="true"/>
        </w:rPr>
        <w:t xml:space="preserve"> </w:t>
      </w:r>
      <w:r>
        <w:rPr>
          <w:rFonts w:ascii="David" w:hAnsi="David" w:cs="David"/>
          <w:rtl w:val="true"/>
        </w:rPr>
        <w:t>משווי המצב הקודם כפי שנקבע בשומות המכריעות</w:t>
      </w:r>
      <w:r>
        <w:rPr>
          <w:rFonts w:cs="David" w:ascii="David" w:hAnsi="David"/>
          <w:rtl w:val="true"/>
        </w:rPr>
        <w:t xml:space="preserve">. </w:t>
      </w:r>
      <w:r>
        <w:rPr>
          <w:rFonts w:ascii="David" w:hAnsi="David" w:cs="David"/>
          <w:rtl w:val="true"/>
        </w:rPr>
        <w:t>שיעור זה דומה במהותו לשיעור המתקבל על יסוד הדו</w:t>
      </w:r>
      <w:r>
        <w:rPr>
          <w:rFonts w:cs="David" w:ascii="David" w:hAnsi="David"/>
          <w:rtl w:val="true"/>
        </w:rPr>
        <w:t>"</w:t>
      </w:r>
      <w:r>
        <w:rPr>
          <w:rFonts w:ascii="David" w:hAnsi="David" w:cs="David"/>
          <w:rtl w:val="true"/>
        </w:rPr>
        <w:t>ח הכלכלי בהתחשב בשינויים שחלו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על פני הדברים ראוי היה לאמצו</w:t>
      </w:r>
      <w:r>
        <w:rPr>
          <w:rFonts w:cs="David" w:ascii="David" w:hAnsi="David"/>
          <w:rtl w:val="true"/>
        </w:rPr>
        <w:t xml:space="preserve">, </w:t>
      </w:r>
      <w:r>
        <w:rPr>
          <w:rFonts w:ascii="David" w:hAnsi="David" w:cs="David"/>
          <w:rtl w:val="true"/>
        </w:rPr>
        <w:t xml:space="preserve">אלא שהיטל ההשבחה שלשיטת הוועדה המקומית יש לחייב בו עומד על </w:t>
      </w:r>
      <w:r>
        <w:rPr>
          <w:rFonts w:cs="David" w:ascii="David" w:hAnsi="David"/>
        </w:rPr>
        <w:t>41,583,228</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 xml:space="preserve">סכום ההשבחה שממנו נגזר היטל זה עומד על </w:t>
      </w:r>
      <w:r>
        <w:rPr>
          <w:rFonts w:cs="David" w:ascii="David" w:hAnsi="David"/>
        </w:rPr>
        <w:t>83,166,457</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והוא מהווה כ</w:t>
      </w:r>
      <w:r>
        <w:rPr>
          <w:rFonts w:cs="David" w:ascii="David" w:hAnsi="David"/>
          <w:rtl w:val="true"/>
        </w:rPr>
        <w:t>-</w:t>
      </w:r>
      <w:r>
        <w:rPr>
          <w:rFonts w:cs="David" w:ascii="David" w:hAnsi="David"/>
        </w:rPr>
        <w:t>52%</w:t>
      </w:r>
      <w:r>
        <w:rPr>
          <w:rFonts w:cs="David" w:ascii="David" w:hAnsi="David"/>
          <w:rtl w:val="true"/>
        </w:rPr>
        <w:t xml:space="preserve"> </w:t>
      </w:r>
      <w:r>
        <w:rPr>
          <w:rFonts w:ascii="David" w:hAnsi="David" w:cs="David"/>
          <w:rtl w:val="true"/>
        </w:rPr>
        <w:t>משווי המצב הקודם כפי שנקבע בשומות המכריעות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האם ניתן להניח כי בפרק זמן של כשנה בלבד חל שינוי כה קיצוני בהשבחה הנובעת מהתוכנית</w:t>
      </w:r>
      <w:r>
        <w:rPr>
          <w:rFonts w:cs="David" w:ascii="David" w:hAnsi="David"/>
          <w:rtl w:val="true"/>
        </w:rPr>
        <w:t xml:space="preserve">, </w:t>
      </w:r>
      <w:r>
        <w:rPr>
          <w:rFonts w:ascii="David" w:hAnsi="David" w:cs="David"/>
          <w:rtl w:val="true"/>
        </w:rPr>
        <w:t>עד כדי התוצאה שלה טוענת הוועדה המקומית</w:t>
      </w:r>
      <w:r>
        <w:rPr>
          <w:rFonts w:cs="David" w:ascii="David" w:hAnsi="David"/>
          <w:rtl w:val="true"/>
        </w:rPr>
        <w:t xml:space="preserve">? </w:t>
      </w:r>
      <w:r>
        <w:rPr>
          <w:rFonts w:ascii="David" w:hAnsi="David" w:cs="David"/>
          <w:rtl w:val="true"/>
        </w:rPr>
        <w:t>השומות המכריעות מלמדות כי התשובה לכך שלילית</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אף אם נביא בחשבון עלייה ריאלית במחירים</w:t>
      </w:r>
      <w:r>
        <w:rPr>
          <w:rFonts w:cs="David" w:ascii="David" w:hAnsi="David"/>
          <w:rtl w:val="true"/>
        </w:rPr>
        <w:t xml:space="preserve">, </w:t>
      </w:r>
      <w:r>
        <w:rPr>
          <w:rFonts w:ascii="David" w:hAnsi="David" w:cs="David"/>
          <w:rtl w:val="true"/>
        </w:rPr>
        <w:t>שינויים תכנוניים מסוימים ושינויים כלכליים אחרים שחלו בשוק ביחס לנתונים שעמדו ביסוד הדו</w:t>
      </w:r>
      <w:r>
        <w:rPr>
          <w:rFonts w:cs="David" w:ascii="David" w:hAnsi="David"/>
          <w:rtl w:val="true"/>
        </w:rPr>
        <w:t>"</w:t>
      </w:r>
      <w:r>
        <w:rPr>
          <w:rFonts w:ascii="David" w:hAnsi="David" w:cs="David"/>
          <w:rtl w:val="true"/>
        </w:rPr>
        <w:t>ח הכלכלי</w:t>
      </w:r>
      <w:r>
        <w:rPr>
          <w:rFonts w:cs="David" w:ascii="David" w:hAnsi="David"/>
          <w:rtl w:val="true"/>
        </w:rPr>
        <w:t xml:space="preserve">, </w:t>
      </w:r>
      <w:r>
        <w:rPr>
          <w:rFonts w:ascii="David" w:hAnsi="David" w:cs="David"/>
          <w:rtl w:val="true"/>
        </w:rPr>
        <w:t>עדיין נותר פער קיצוני בין התוצאות</w:t>
      </w:r>
      <w:r>
        <w:rPr>
          <w:rFonts w:cs="David" w:ascii="David" w:hAnsi="David"/>
          <w:rtl w:val="true"/>
        </w:rPr>
        <w:t xml:space="preserve">, </w:t>
      </w:r>
      <w:r>
        <w:rPr>
          <w:rFonts w:ascii="David" w:hAnsi="David" w:cs="David"/>
          <w:rtl w:val="true"/>
        </w:rPr>
        <w:t>אשר על פני הדברים אינו מתיישב עם השינוי שניתן היה לצפות לו בפרק הזמן האמור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למעשה</w:t>
      </w:r>
      <w:r>
        <w:rPr>
          <w:rFonts w:cs="David" w:ascii="David" w:hAnsi="David"/>
          <w:rtl w:val="true"/>
        </w:rPr>
        <w:t xml:space="preserve">, </w:t>
      </w:r>
      <w:r>
        <w:rPr>
          <w:rFonts w:ascii="David" w:hAnsi="David" w:cs="David"/>
          <w:rtl w:val="true"/>
        </w:rPr>
        <w:t>התוצאה שאליה הגיעו השומות המכריעות</w:t>
      </w:r>
      <w:r>
        <w:rPr>
          <w:rFonts w:cs="David" w:ascii="David" w:hAnsi="David"/>
          <w:rtl w:val="true"/>
        </w:rPr>
        <w:t xml:space="preserve">, </w:t>
      </w:r>
      <w:r>
        <w:rPr>
          <w:rFonts w:ascii="David" w:hAnsi="David" w:cs="David"/>
          <w:rtl w:val="true"/>
        </w:rPr>
        <w:t>תחת ההנחה כי חל פטור בגין שטחי המרחבים המוגנים</w:t>
      </w:r>
      <w:r>
        <w:rPr>
          <w:rFonts w:cs="David" w:ascii="David" w:hAnsi="David"/>
          <w:rtl w:val="true"/>
        </w:rPr>
        <w:t xml:space="preserve">, </w:t>
      </w:r>
      <w:r>
        <w:rPr>
          <w:rFonts w:ascii="David" w:hAnsi="David" w:cs="David"/>
          <w:rtl w:val="true"/>
        </w:rPr>
        <w:t>מתיישבת עם הדו</w:t>
      </w:r>
      <w:r>
        <w:rPr>
          <w:rFonts w:cs="David" w:ascii="David" w:hAnsi="David"/>
          <w:rtl w:val="true"/>
        </w:rPr>
        <w:t>"</w:t>
      </w:r>
      <w:r>
        <w:rPr>
          <w:rFonts w:ascii="David" w:hAnsi="David" w:cs="David"/>
          <w:rtl w:val="true"/>
        </w:rPr>
        <w:t>ח הכלכלי</w:t>
      </w:r>
      <w:r>
        <w:rPr>
          <w:rFonts w:cs="David" w:ascii="David" w:hAnsi="David"/>
          <w:rtl w:val="true"/>
        </w:rPr>
        <w:t xml:space="preserve">. </w:t>
      </w:r>
      <w:r>
        <w:rPr>
          <w:rFonts w:ascii="David" w:hAnsi="David" w:cs="David"/>
          <w:rtl w:val="true"/>
        </w:rPr>
        <w:t>התאמה זו מחזקת את המסקנה כי שיעור ההשבחה שנקבע בשומות המכריעות</w:t>
      </w:r>
      <w:r>
        <w:rPr>
          <w:rFonts w:cs="David" w:ascii="David" w:hAnsi="David"/>
          <w:rtl w:val="true"/>
        </w:rPr>
        <w:t xml:space="preserve">, </w:t>
      </w:r>
      <w:r>
        <w:rPr>
          <w:rFonts w:ascii="David" w:hAnsi="David" w:cs="David"/>
          <w:rtl w:val="true"/>
        </w:rPr>
        <w:t>בהינתן הנחה זו</w:t>
      </w:r>
      <w:r>
        <w:rPr>
          <w:rFonts w:cs="David" w:ascii="David" w:hAnsi="David"/>
          <w:rtl w:val="true"/>
        </w:rPr>
        <w:t xml:space="preserve">, </w:t>
      </w:r>
      <w:r>
        <w:rPr>
          <w:rFonts w:ascii="David" w:hAnsi="David" w:cs="David"/>
          <w:rtl w:val="true"/>
        </w:rPr>
        <w:t>משקף באופן סביר את ההתעשרות שצמחה לבעלי הזכויות עקב אישורה של התוכנית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ויוטעם</w:t>
      </w:r>
      <w:r>
        <w:rPr>
          <w:rFonts w:cs="David" w:ascii="David" w:hAnsi="David"/>
          <w:rtl w:val="true"/>
        </w:rPr>
        <w:t xml:space="preserve">, </w:t>
      </w:r>
      <w:r>
        <w:rPr>
          <w:rFonts w:ascii="David" w:hAnsi="David" w:cs="David"/>
          <w:rtl w:val="true"/>
        </w:rPr>
        <w:t>אין בבחינה האמורה כדי ללמד על עצם הזכאות לפטור בגין שטחי המרחבים המוגנים</w:t>
      </w:r>
      <w:r>
        <w:rPr>
          <w:rFonts w:cs="David" w:ascii="David" w:hAnsi="David"/>
          <w:rtl w:val="true"/>
        </w:rPr>
        <w:t xml:space="preserve">. </w:t>
      </w:r>
      <w:r>
        <w:rPr>
          <w:rFonts w:ascii="David" w:hAnsi="David" w:cs="David"/>
          <w:rtl w:val="true"/>
        </w:rPr>
        <w:t>שאלת תחולתו של הפטור היא שאלה משפטית נפרדת</w:t>
      </w:r>
      <w:r>
        <w:rPr>
          <w:rFonts w:cs="David" w:ascii="David" w:hAnsi="David"/>
          <w:rtl w:val="true"/>
        </w:rPr>
        <w:t xml:space="preserve">, </w:t>
      </w:r>
      <w:r>
        <w:rPr>
          <w:rFonts w:ascii="David" w:hAnsi="David" w:cs="David"/>
          <w:rtl w:val="true"/>
        </w:rPr>
        <w:t>שיש להכריע בה בהתאם להוראות הדין</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משכך</w:t>
      </w:r>
      <w:r>
        <w:rPr>
          <w:rFonts w:cs="David" w:ascii="David" w:hAnsi="David"/>
          <w:rtl w:val="true"/>
        </w:rPr>
        <w:t xml:space="preserve">, </w:t>
      </w:r>
      <w:r>
        <w:rPr>
          <w:rFonts w:ascii="David" w:hAnsi="David" w:cs="David"/>
          <w:rtl w:val="true"/>
        </w:rPr>
        <w:t>וככל שייקבע כי בעלי הזכויות אכן זכאים לפטור האמור</w:t>
      </w:r>
      <w:r>
        <w:rPr>
          <w:rFonts w:cs="David" w:ascii="David" w:hAnsi="David"/>
          <w:rtl w:val="true"/>
        </w:rPr>
        <w:t xml:space="preserve">, </w:t>
      </w:r>
      <w:r>
        <w:rPr>
          <w:rFonts w:ascii="David" w:hAnsi="David" w:cs="David"/>
          <w:rtl w:val="true"/>
        </w:rPr>
        <w:t>אין בתוצאה השמאית שהתקבלה בשומות המכריעות</w:t>
      </w:r>
      <w:r>
        <w:rPr>
          <w:rFonts w:cs="David" w:ascii="David" w:hAnsi="David"/>
          <w:rtl w:val="true"/>
        </w:rPr>
        <w:t xml:space="preserve">, </w:t>
      </w:r>
      <w:r>
        <w:rPr>
          <w:rFonts w:ascii="David" w:hAnsi="David" w:cs="David"/>
          <w:rtl w:val="true"/>
        </w:rPr>
        <w:t>כשלעצמה</w:t>
      </w:r>
      <w:r>
        <w:rPr>
          <w:rFonts w:cs="David" w:ascii="David" w:hAnsi="David"/>
          <w:rtl w:val="true"/>
        </w:rPr>
        <w:t xml:space="preserve">, </w:t>
      </w:r>
      <w:r>
        <w:rPr>
          <w:rFonts w:ascii="David" w:hAnsi="David" w:cs="David"/>
          <w:rtl w:val="true"/>
        </w:rPr>
        <w:t>עילה להתערבותנו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ואכן</w:t>
      </w:r>
      <w:r>
        <w:rPr>
          <w:rFonts w:cs="David" w:ascii="David" w:hAnsi="David"/>
          <w:rtl w:val="true"/>
        </w:rPr>
        <w:t xml:space="preserve">, </w:t>
      </w:r>
      <w:r>
        <w:rPr>
          <w:rFonts w:ascii="David" w:hAnsi="David" w:cs="David"/>
          <w:rtl w:val="true"/>
        </w:rPr>
        <w:t xml:space="preserve">דרך החישוב שננקטה בשומות המכריעות אינה תואמת במלואה את המתודולוגיה שהותוותה לאחר מכן </w:t>
      </w:r>
      <w:r>
        <w:rPr>
          <w:rFonts w:ascii="Miriam" w:hAnsi="Miriam" w:cs="Miriam"/>
          <w:rtl w:val="true"/>
        </w:rPr>
        <w:t>בעניין נועה לב</w:t>
      </w:r>
      <w:r>
        <w:rPr>
          <w:rFonts w:cs="David" w:ascii="David" w:hAnsi="David"/>
          <w:rtl w:val="true"/>
        </w:rPr>
        <w:t xml:space="preserve">. </w:t>
      </w:r>
      <w:r>
        <w:rPr>
          <w:rFonts w:ascii="David" w:hAnsi="David" w:cs="David"/>
          <w:rtl w:val="true"/>
        </w:rPr>
        <w:t>עם זאת</w:t>
      </w:r>
      <w:r>
        <w:rPr>
          <w:rFonts w:cs="David" w:ascii="David" w:hAnsi="David"/>
          <w:rtl w:val="true"/>
        </w:rPr>
        <w:t xml:space="preserve">, </w:t>
      </w:r>
      <w:r>
        <w:rPr>
          <w:rFonts w:ascii="David" w:hAnsi="David" w:cs="David"/>
          <w:rtl w:val="true"/>
        </w:rPr>
        <w:t>בנסיבות העניין</w:t>
      </w:r>
      <w:r>
        <w:rPr>
          <w:rFonts w:cs="David" w:ascii="David" w:hAnsi="David"/>
          <w:rtl w:val="true"/>
        </w:rPr>
        <w:t xml:space="preserve">, </w:t>
      </w:r>
      <w:r>
        <w:rPr>
          <w:rFonts w:ascii="David" w:hAnsi="David" w:cs="David"/>
          <w:rtl w:val="true"/>
        </w:rPr>
        <w:t>אין בהבדל זה כשלעצמו כדי להצדיק התערבות בשומות</w:t>
      </w:r>
      <w:r>
        <w:rPr>
          <w:rFonts w:cs="David" w:ascii="David" w:hAnsi="David"/>
          <w:rtl w:val="true"/>
        </w:rPr>
        <w:t xml:space="preserve">. </w:t>
      </w:r>
      <w:r>
        <w:rPr>
          <w:rFonts w:ascii="David" w:hAnsi="David" w:cs="David"/>
          <w:rtl w:val="true"/>
        </w:rPr>
        <w:t>המתודולוגיה השמאית נועדה לסייע באומדן עליית שווי המקרקעין עקב הפעולה התכנונית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בענייננו</w:t>
      </w:r>
      <w:r>
        <w:rPr>
          <w:rFonts w:cs="David" w:ascii="David" w:hAnsi="David"/>
          <w:rtl w:val="true"/>
        </w:rPr>
        <w:t xml:space="preserve">, </w:t>
      </w:r>
      <w:r>
        <w:rPr>
          <w:rFonts w:ascii="David" w:hAnsi="David" w:cs="David"/>
          <w:rtl w:val="true"/>
        </w:rPr>
        <w:t>בחינת מכלול הנתונים שביסוד השומות המכריעות</w:t>
      </w:r>
      <w:r>
        <w:rPr>
          <w:rFonts w:cs="David" w:ascii="David" w:hAnsi="David"/>
          <w:rtl w:val="true"/>
        </w:rPr>
        <w:t xml:space="preserve">, </w:t>
      </w:r>
      <w:r>
        <w:rPr>
          <w:rFonts w:ascii="David" w:hAnsi="David" w:cs="David"/>
          <w:rtl w:val="true"/>
        </w:rPr>
        <w:t>כפי שיפורט להלן</w:t>
      </w:r>
      <w:r>
        <w:rPr>
          <w:rFonts w:cs="David" w:ascii="David" w:hAnsi="David"/>
          <w:rtl w:val="true"/>
        </w:rPr>
        <w:t xml:space="preserve">, </w:t>
      </w:r>
      <w:r>
        <w:rPr>
          <w:rFonts w:ascii="David" w:hAnsi="David" w:cs="David"/>
          <w:rtl w:val="true"/>
        </w:rPr>
        <w:t>מלמדת כי ניתנה בהן התייחסות מבוססת לערכי השווי ולמאפייני מימושו של המיזם</w:t>
      </w:r>
      <w:r>
        <w:rPr>
          <w:rFonts w:cs="David" w:ascii="David" w:hAnsi="David"/>
          <w:rtl w:val="true"/>
        </w:rPr>
        <w:t xml:space="preserve">. </w:t>
      </w:r>
      <w:r>
        <w:rPr>
          <w:rFonts w:ascii="David" w:hAnsi="David" w:cs="David"/>
          <w:rtl w:val="true"/>
        </w:rPr>
        <w:t>לכך מצטרפת בדיקת הבקרה מול הדו</w:t>
      </w:r>
      <w:r>
        <w:rPr>
          <w:rFonts w:cs="David" w:ascii="David" w:hAnsi="David"/>
          <w:rtl w:val="true"/>
        </w:rPr>
        <w:t>"</w:t>
      </w:r>
      <w:r>
        <w:rPr>
          <w:rFonts w:ascii="David" w:hAnsi="David" w:cs="David"/>
          <w:rtl w:val="true"/>
        </w:rPr>
        <w:t>ח הכלכלי</w:t>
      </w:r>
      <w:r>
        <w:rPr>
          <w:rFonts w:cs="David" w:ascii="David" w:hAnsi="David"/>
          <w:rtl w:val="true"/>
        </w:rPr>
        <w:t xml:space="preserve">, </w:t>
      </w:r>
      <w:r>
        <w:rPr>
          <w:rFonts w:ascii="David" w:hAnsi="David" w:cs="David"/>
          <w:rtl w:val="true"/>
        </w:rPr>
        <w:t>המחזקת את סבירות התוצאה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בנסיבות אלה</w:t>
      </w:r>
      <w:r>
        <w:rPr>
          <w:rFonts w:cs="David" w:ascii="David" w:hAnsi="David"/>
          <w:rtl w:val="true"/>
        </w:rPr>
        <w:t xml:space="preserve">, </w:t>
      </w:r>
      <w:r>
        <w:rPr>
          <w:rFonts w:ascii="David" w:hAnsi="David" w:cs="David"/>
          <w:rtl w:val="true"/>
        </w:rPr>
        <w:t>אין די בהצבעה על תוצאה חשבונאית שונה הנובעת משינוי באופן החלתו של מקדם הדחייה – אף אם זו התוצאה המתקבלת</w:t>
      </w:r>
      <w:r>
        <w:rPr>
          <w:rFonts w:cs="David" w:ascii="David" w:hAnsi="David"/>
          <w:rtl w:val="true"/>
        </w:rPr>
        <w:t xml:space="preserve">, </w:t>
      </w:r>
      <w:r>
        <w:rPr>
          <w:rFonts w:ascii="David" w:hAnsi="David" w:cs="David"/>
          <w:rtl w:val="true"/>
        </w:rPr>
        <w:t>לכאורה</w:t>
      </w:r>
      <w:r>
        <w:rPr>
          <w:rFonts w:cs="David" w:ascii="David" w:hAnsi="David"/>
          <w:rtl w:val="true"/>
        </w:rPr>
        <w:t xml:space="preserve">, </w:t>
      </w:r>
      <w:r>
        <w:rPr>
          <w:rFonts w:ascii="David" w:hAnsi="David" w:cs="David"/>
          <w:rtl w:val="true"/>
        </w:rPr>
        <w:t xml:space="preserve">מיישומו הנטען של פסק הדין </w:t>
      </w:r>
      <w:r>
        <w:rPr>
          <w:rFonts w:ascii="Miriam" w:hAnsi="Miriam" w:cs="Miriam"/>
          <w:rtl w:val="true"/>
        </w:rPr>
        <w:t>בעניין נועה לב</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לגישתנו</w:t>
      </w:r>
      <w:r>
        <w:rPr>
          <w:rFonts w:cs="David" w:ascii="David" w:hAnsi="David"/>
          <w:rtl w:val="true"/>
        </w:rPr>
        <w:t xml:space="preserve">, </w:t>
      </w:r>
      <w:r>
        <w:rPr>
          <w:rFonts w:ascii="David" w:hAnsi="David" w:cs="David"/>
          <w:rtl w:val="true"/>
        </w:rPr>
        <w:t>אין די בהצבעה על תוצאה זו כשלעצמה</w:t>
      </w:r>
      <w:r>
        <w:rPr>
          <w:rFonts w:cs="David" w:ascii="David" w:hAnsi="David"/>
          <w:rtl w:val="true"/>
        </w:rPr>
        <w:t xml:space="preserve">, </w:t>
      </w:r>
      <w:r>
        <w:rPr>
          <w:rFonts w:ascii="David" w:hAnsi="David" w:cs="David"/>
          <w:rtl w:val="true"/>
        </w:rPr>
        <w:t>אלא נדרש להראות כי היא מלמדת על חסר מהותי באומדן עליית השווי שנקבע בשומות המכריעות</w:t>
      </w:r>
      <w:r>
        <w:rPr>
          <w:rFonts w:cs="David" w:ascii="David" w:hAnsi="David"/>
          <w:rtl w:val="true"/>
        </w:rPr>
        <w:t xml:space="preserve">. </w:t>
      </w:r>
      <w:r>
        <w:rPr>
          <w:rFonts w:ascii="David" w:hAnsi="David" w:cs="David"/>
          <w:rtl w:val="true"/>
        </w:rPr>
        <w:t>לאחר שבחנו את נסיבות המקרה</w:t>
      </w:r>
      <w:r>
        <w:rPr>
          <w:rFonts w:cs="David" w:ascii="David" w:hAnsi="David"/>
          <w:rtl w:val="true"/>
        </w:rPr>
        <w:t xml:space="preserve">, </w:t>
      </w:r>
      <w:r>
        <w:rPr>
          <w:rFonts w:ascii="David" w:hAnsi="David" w:cs="David"/>
          <w:rtl w:val="true"/>
        </w:rPr>
        <w:t>לא שוכנענו כי הונחה תשתית מספקת למסקנה זו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 xml:space="preserve">בהקשר זה חשוב להבהיר כי דרך יישומה של המתודולוגיה שנקבעה </w:t>
      </w:r>
      <w:r>
        <w:rPr>
          <w:rFonts w:ascii="Miriam" w:hAnsi="Miriam" w:cs="Miriam"/>
          <w:rtl w:val="true"/>
        </w:rPr>
        <w:t>בעניין נועה לב</w:t>
      </w:r>
      <w:r>
        <w:rPr>
          <w:rFonts w:ascii="David" w:hAnsi="David" w:cs="David"/>
          <w:rtl w:val="true"/>
        </w:rPr>
        <w:t xml:space="preserve"> טרם זכתה לליבון ממצה בפסיקה</w:t>
      </w:r>
      <w:r>
        <w:rPr>
          <w:rFonts w:cs="David" w:ascii="David" w:hAnsi="David"/>
          <w:rtl w:val="true"/>
        </w:rPr>
        <w:t xml:space="preserve">. </w:t>
      </w:r>
      <w:r>
        <w:rPr>
          <w:rFonts w:ascii="David" w:hAnsi="David" w:cs="David"/>
          <w:rtl w:val="true"/>
        </w:rPr>
        <w:t>על כן</w:t>
      </w:r>
      <w:r>
        <w:rPr>
          <w:rFonts w:cs="David" w:ascii="David" w:hAnsi="David"/>
          <w:rtl w:val="true"/>
        </w:rPr>
        <w:t xml:space="preserve">, </w:t>
      </w:r>
      <w:r>
        <w:rPr>
          <w:rFonts w:ascii="David" w:hAnsi="David" w:cs="David"/>
          <w:rtl w:val="true"/>
        </w:rPr>
        <w:t>אין לומר כי החלתה על נסיבות המקרה שלפנינו הייתה מוליכה</w:t>
      </w:r>
      <w:r>
        <w:rPr>
          <w:rFonts w:cs="David" w:ascii="David" w:hAnsi="David"/>
          <w:rtl w:val="true"/>
        </w:rPr>
        <w:t xml:space="preserve">, </w:t>
      </w:r>
      <w:r>
        <w:rPr>
          <w:rFonts w:ascii="David" w:hAnsi="David" w:cs="David"/>
          <w:rtl w:val="true"/>
        </w:rPr>
        <w:t>בהכרח</w:t>
      </w:r>
      <w:r>
        <w:rPr>
          <w:rFonts w:cs="David" w:ascii="David" w:hAnsi="David"/>
          <w:rtl w:val="true"/>
        </w:rPr>
        <w:t xml:space="preserve">, </w:t>
      </w:r>
      <w:r>
        <w:rPr>
          <w:rFonts w:ascii="David" w:hAnsi="David" w:cs="David"/>
          <w:rtl w:val="true"/>
        </w:rPr>
        <w:t xml:space="preserve">לתוצאה לה טוענת הוועדה המקומית </w:t>
      </w:r>
      <w:r>
        <w:rPr>
          <w:rFonts w:cs="David" w:ascii="David" w:hAnsi="David"/>
          <w:rtl w:val="true"/>
        </w:rPr>
        <w:t>(</w:t>
      </w:r>
      <w:r>
        <w:rPr>
          <w:rFonts w:ascii="David" w:hAnsi="David" w:cs="David"/>
          <w:rtl w:val="true"/>
        </w:rPr>
        <w:t>ראו והשוו</w:t>
      </w:r>
      <w:r>
        <w:rPr>
          <w:rFonts w:cs="David" w:ascii="David" w:hAnsi="David"/>
          <w:rtl w:val="true"/>
        </w:rPr>
        <w:t xml:space="preserve">: </w:t>
      </w:r>
      <w:r>
        <w:rPr>
          <w:rFonts w:ascii="David" w:hAnsi="David" w:cs="David"/>
          <w:rtl w:val="true"/>
        </w:rPr>
        <w:t xml:space="preserve">ערר </w:t>
      </w:r>
      <w:r>
        <w:rPr>
          <w:rFonts w:cs="David" w:ascii="David" w:hAnsi="David"/>
          <w:rtl w:val="true"/>
        </w:rPr>
        <w:t>(</w:t>
      </w:r>
      <w:r>
        <w:rPr>
          <w:rFonts w:ascii="David" w:hAnsi="David" w:cs="David"/>
          <w:rtl w:val="true"/>
        </w:rPr>
        <w:t xml:space="preserve">ועדות ערר </w:t>
      </w:r>
      <w:r>
        <w:rPr>
          <w:rFonts w:cs="David" w:ascii="David" w:hAnsi="David"/>
          <w:rtl w:val="true"/>
        </w:rPr>
        <w:t xml:space="preserve">- </w:t>
      </w:r>
      <w:r>
        <w:rPr>
          <w:rFonts w:ascii="David" w:hAnsi="David" w:cs="David"/>
          <w:rtl w:val="true"/>
        </w:rPr>
        <w:t>תכנון ובנייה תל אביב</w:t>
      </w:r>
      <w:r>
        <w:rPr>
          <w:rFonts w:cs="David" w:ascii="David" w:hAnsi="David"/>
          <w:rtl w:val="true"/>
        </w:rPr>
        <w:t>-</w:t>
      </w:r>
      <w:r>
        <w:rPr>
          <w:rFonts w:ascii="David" w:hAnsi="David" w:cs="David"/>
          <w:rtl w:val="true"/>
        </w:rPr>
        <w:t>יפו</w:t>
      </w:r>
      <w:r>
        <w:rPr>
          <w:rFonts w:cs="David" w:ascii="David" w:hAnsi="David"/>
          <w:rtl w:val="true"/>
        </w:rPr>
        <w:t xml:space="preserve">) </w:t>
      </w:r>
      <w:r>
        <w:rPr>
          <w:rFonts w:cs="David" w:ascii="David" w:hAnsi="David"/>
        </w:rPr>
        <w:t>84122-08-25</w:t>
      </w:r>
      <w:r>
        <w:rPr>
          <w:rFonts w:cs="David" w:ascii="David" w:hAnsi="David"/>
          <w:rtl w:val="true"/>
        </w:rPr>
        <w:t xml:space="preserve"> </w:t>
      </w:r>
      <w:r>
        <w:rPr>
          <w:rFonts w:ascii="Miriam" w:hAnsi="Miriam" w:cs="Miriam"/>
          <w:rtl w:val="true"/>
        </w:rPr>
        <w:t>הוועדה המקומית לתכנון ולבניה רמת גן נ</w:t>
      </w:r>
      <w:r>
        <w:rPr>
          <w:rFonts w:cs="Miriam" w:ascii="Miriam" w:hAnsi="Miriam"/>
          <w:rtl w:val="true"/>
        </w:rPr>
        <w:t xml:space="preserve">' </w:t>
      </w:r>
      <w:r>
        <w:rPr>
          <w:rFonts w:ascii="Miriam" w:hAnsi="Miriam" w:cs="Miriam"/>
          <w:rtl w:val="true"/>
        </w:rPr>
        <w:t>חברת אביב במקור בע״מ</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5.8.2026</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אשר להשגות הצדדים</w:t>
      </w:r>
      <w:r>
        <w:rPr>
          <w:rFonts w:cs="David" w:ascii="David" w:hAnsi="David"/>
          <w:rtl w:val="true"/>
        </w:rPr>
        <w:t xml:space="preserve">, </w:t>
      </w:r>
      <w:r>
        <w:rPr>
          <w:rFonts w:ascii="David" w:hAnsi="David" w:cs="David"/>
          <w:rtl w:val="true"/>
        </w:rPr>
        <w:t>נבהיר כי אין בידינו לקבלן</w:t>
      </w:r>
      <w:r>
        <w:rPr>
          <w:rFonts w:cs="David" w:ascii="David" w:hAnsi="David"/>
          <w:rtl w:val="true"/>
        </w:rPr>
        <w:t xml:space="preserve">. </w:t>
      </w:r>
      <w:r>
        <w:rPr>
          <w:rFonts w:ascii="David" w:hAnsi="David" w:cs="David"/>
          <w:rtl w:val="true"/>
        </w:rPr>
        <w:t>עיון בשומות המכריעות מלמד כי מקדם הדחייה נקבע על יסוד מסד נתונים שגובש לאחר בחינה יסודית ומעמיקה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הוועדה המקומית טוענת כי השמאית המכריעה לא נתנה ביטוי מספרי לשיעור ההסכמות שהושג בין בעלי הדירות הקיימות לבין דמרי</w:t>
      </w:r>
      <w:r>
        <w:rPr>
          <w:rFonts w:cs="David" w:ascii="David" w:hAnsi="David"/>
          <w:rtl w:val="true"/>
        </w:rPr>
        <w:t xml:space="preserve">, </w:t>
      </w:r>
      <w:r>
        <w:rPr>
          <w:rFonts w:ascii="David" w:hAnsi="David" w:cs="David"/>
          <w:rtl w:val="true"/>
        </w:rPr>
        <w:t>במועד הקובע לתוכנית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אין בידינו לקבל טענה זו</w:t>
      </w:r>
      <w:r>
        <w:rPr>
          <w:rFonts w:cs="David" w:ascii="David" w:hAnsi="David"/>
          <w:rtl w:val="true"/>
        </w:rPr>
        <w:t xml:space="preserve">. </w:t>
      </w:r>
      <w:r>
        <w:rPr>
          <w:rFonts w:ascii="David" w:hAnsi="David" w:cs="David"/>
          <w:rtl w:val="true"/>
        </w:rPr>
        <w:t>שיעור ההסכמות הוא רכיב אחד מתוך מכלול של גורמים המשפיעים על משך הדחייה</w:t>
      </w:r>
      <w:r>
        <w:rPr>
          <w:rFonts w:cs="David" w:ascii="David" w:hAnsi="David"/>
          <w:rtl w:val="true"/>
        </w:rPr>
        <w:t xml:space="preserve">. </w:t>
      </w:r>
      <w:r>
        <w:rPr>
          <w:rFonts w:ascii="David" w:hAnsi="David" w:cs="David"/>
          <w:rtl w:val="true"/>
        </w:rPr>
        <w:t>לצדו יש להביא בחשבון את פרק הזמן הנדרש להשלמת ההתקשרויות עם בעלי הדירות</w:t>
      </w:r>
      <w:r>
        <w:rPr>
          <w:rFonts w:cs="David" w:ascii="David" w:hAnsi="David"/>
          <w:rtl w:val="true"/>
        </w:rPr>
        <w:t xml:space="preserve">; </w:t>
      </w:r>
      <w:r>
        <w:rPr>
          <w:rFonts w:ascii="David" w:hAnsi="David" w:cs="David"/>
          <w:rtl w:val="true"/>
        </w:rPr>
        <w:t>להתמודדות עם בעלי דירות המסרבים להתקשר בעסקה</w:t>
      </w:r>
      <w:r>
        <w:rPr>
          <w:rFonts w:cs="David" w:ascii="David" w:hAnsi="David"/>
          <w:rtl w:val="true"/>
        </w:rPr>
        <w:t xml:space="preserve">; </w:t>
      </w:r>
      <w:r>
        <w:rPr>
          <w:rFonts w:ascii="David" w:hAnsi="David" w:cs="David"/>
          <w:rtl w:val="true"/>
        </w:rPr>
        <w:t>להליכי הרישוי ולהוצאת היתר בנייה</w:t>
      </w:r>
      <w:r>
        <w:rPr>
          <w:rFonts w:cs="David" w:ascii="David" w:hAnsi="David"/>
          <w:rtl w:val="true"/>
        </w:rPr>
        <w:t xml:space="preserve">; </w:t>
      </w:r>
      <w:r>
        <w:rPr>
          <w:rFonts w:ascii="David" w:hAnsi="David" w:cs="David"/>
          <w:rtl w:val="true"/>
        </w:rPr>
        <w:t>וכן לפינוי</w:t>
      </w:r>
      <w:r>
        <w:rPr>
          <w:rFonts w:cs="David" w:ascii="David" w:hAnsi="David"/>
          <w:rtl w:val="true"/>
        </w:rPr>
        <w:t xml:space="preserve">, </w:t>
      </w:r>
      <w:r>
        <w:rPr>
          <w:rFonts w:ascii="David" w:hAnsi="David" w:cs="David"/>
          <w:rtl w:val="true"/>
        </w:rPr>
        <w:t>להריסה</w:t>
      </w:r>
      <w:r>
        <w:rPr>
          <w:rFonts w:cs="David" w:ascii="David" w:hAnsi="David"/>
          <w:rtl w:val="true"/>
        </w:rPr>
        <w:t xml:space="preserve">, </w:t>
      </w:r>
      <w:r>
        <w:rPr>
          <w:rFonts w:ascii="David" w:hAnsi="David" w:cs="David"/>
          <w:rtl w:val="true"/>
        </w:rPr>
        <w:t>לביצוע העבודות</w:t>
      </w:r>
      <w:r>
        <w:rPr>
          <w:rFonts w:cs="David" w:ascii="David" w:hAnsi="David"/>
          <w:rtl w:val="true"/>
        </w:rPr>
        <w:t xml:space="preserve">, </w:t>
      </w:r>
      <w:r>
        <w:rPr>
          <w:rFonts w:ascii="David" w:hAnsi="David" w:cs="David"/>
          <w:rtl w:val="true"/>
        </w:rPr>
        <w:t>לשיווק ולמסירת הדירות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אף אין בידינו לקבל את טענות הוועדה המקומית בדבר טעויות שנפלו</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בהערכת הנתונים שעליהם נסמכו השומות המכריעות</w:t>
      </w:r>
      <w:r>
        <w:rPr>
          <w:rFonts w:cs="David" w:ascii="David" w:hAnsi="David"/>
          <w:rtl w:val="true"/>
        </w:rPr>
        <w:t xml:space="preserve">. </w:t>
      </w:r>
      <w:r>
        <w:rPr>
          <w:rFonts w:ascii="David" w:hAnsi="David" w:cs="David"/>
          <w:rtl w:val="true"/>
        </w:rPr>
        <w:t>עמדתה בהקשר זה מבוססת על חישוב משך הדחייה החל ממועד אישורה של תוכנית מאוחרת לתוכנית המקורית</w:t>
      </w:r>
      <w:r>
        <w:rPr>
          <w:rFonts w:cs="David" w:ascii="David" w:hAnsi="David"/>
          <w:rtl w:val="true"/>
        </w:rPr>
        <w:t xml:space="preserve">, </w:t>
      </w:r>
      <w:r>
        <w:rPr>
          <w:rFonts w:ascii="David" w:hAnsi="David" w:cs="David"/>
          <w:rtl w:val="true"/>
        </w:rPr>
        <w:t>אשר במקרים שהוצגו נועדה</w:t>
      </w:r>
      <w:r>
        <w:rPr>
          <w:rFonts w:cs="David" w:ascii="David" w:hAnsi="David"/>
          <w:rtl w:val="true"/>
        </w:rPr>
        <w:t xml:space="preserve">, </w:t>
      </w:r>
      <w:r>
        <w:rPr>
          <w:rFonts w:ascii="David" w:hAnsi="David" w:cs="David"/>
          <w:rtl w:val="true"/>
        </w:rPr>
        <w:t>ככלל</w:t>
      </w:r>
      <w:r>
        <w:rPr>
          <w:rFonts w:cs="David" w:ascii="David" w:hAnsi="David"/>
          <w:rtl w:val="true"/>
        </w:rPr>
        <w:t xml:space="preserve">, </w:t>
      </w:r>
      <w:r>
        <w:rPr>
          <w:rFonts w:ascii="David" w:hAnsi="David" w:cs="David"/>
          <w:rtl w:val="true"/>
        </w:rPr>
        <w:t>להוסיף זכויות לשם שיפור כדאיותו הכלכלית של המיזם</w:t>
      </w:r>
      <w:r>
        <w:rPr>
          <w:rFonts w:cs="David" w:ascii="David" w:hAnsi="David"/>
          <w:rtl w:val="true"/>
        </w:rPr>
        <w:t xml:space="preserve">. </w:t>
      </w:r>
      <w:r>
        <w:rPr>
          <w:rFonts w:ascii="David" w:hAnsi="David" w:cs="David"/>
          <w:rtl w:val="true"/>
        </w:rPr>
        <w:t>לכך מצטרפת העובדה כי במיזמים שהובאו כדוגמה מספר יחידות הדיור נמוך במידה ניכרת ממספר יחידות הדיור הכלולות בתוכנית שלפנינו</w:t>
      </w:r>
      <w:r>
        <w:rPr>
          <w:rFonts w:cs="David" w:ascii="David" w:hAnsi="David"/>
          <w:rtl w:val="true"/>
        </w:rPr>
        <w:t xml:space="preserve">. </w:t>
      </w:r>
      <w:r>
        <w:rPr>
          <w:rFonts w:ascii="David" w:hAnsi="David" w:cs="David"/>
          <w:rtl w:val="true"/>
        </w:rPr>
        <w:t>בנסיבות אלה</w:t>
      </w:r>
      <w:r>
        <w:rPr>
          <w:rFonts w:cs="David" w:ascii="David" w:hAnsi="David"/>
          <w:rtl w:val="true"/>
        </w:rPr>
        <w:t xml:space="preserve">, </w:t>
      </w:r>
      <w:r>
        <w:rPr>
          <w:rFonts w:ascii="David" w:hAnsi="David" w:cs="David"/>
          <w:rtl w:val="true"/>
        </w:rPr>
        <w:t>הניסיון להקיש במישרין מאותם מיזמים לענייננו אינו נקי מקשיים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נתונים אלה עמדו לפני השמאית המכריעה אשר קבעה את תקופת דחייה הראויה בנסיבות העניין</w:t>
      </w:r>
      <w:r>
        <w:rPr>
          <w:rFonts w:cs="David" w:ascii="David" w:hAnsi="David"/>
          <w:rtl w:val="true"/>
        </w:rPr>
        <w:t xml:space="preserve">. </w:t>
      </w:r>
      <w:r>
        <w:rPr>
          <w:rFonts w:ascii="David" w:hAnsi="David" w:cs="David"/>
          <w:rtl w:val="true"/>
        </w:rPr>
        <w:t>קביעה זו מצויה בליבת שיקול הדעת השמאי</w:t>
      </w:r>
      <w:r>
        <w:rPr>
          <w:rFonts w:cs="David" w:ascii="David" w:hAnsi="David"/>
          <w:rtl w:val="true"/>
        </w:rPr>
        <w:t xml:space="preserve">, </w:t>
      </w:r>
      <w:r>
        <w:rPr>
          <w:rFonts w:ascii="David" w:hAnsi="David" w:cs="David"/>
          <w:rtl w:val="true"/>
        </w:rPr>
        <w:t>ובנסיבות העניין לא מצאנו עילה להתערב בה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cs="David" w:ascii="David" w:hAnsi="David"/>
          <w:color w:val="FFFFFF"/>
          <w:sz w:val="2"/>
          <w:szCs w:val="2"/>
        </w:rPr>
        <w:t>051293710</w:t>
      </w:r>
      <w:r>
        <w:rPr>
          <w:rFonts w:ascii="David" w:hAnsi="David" w:cs="David"/>
          <w:rtl w:val="true"/>
        </w:rPr>
        <w:t>מסקנה זו אינה משתנה אף בהנחה כי יש ממש בטענות הוועדה המקומית בדבר טעויות עובדתיות מסוימות שנפלו במסד הנתונים</w:t>
      </w:r>
      <w:r>
        <w:rPr>
          <w:rFonts w:cs="David" w:ascii="David" w:hAnsi="David"/>
          <w:rtl w:val="true"/>
        </w:rPr>
        <w:t xml:space="preserve">. </w:t>
      </w:r>
      <w:r>
        <w:rPr>
          <w:rFonts w:ascii="David" w:hAnsi="David" w:cs="David"/>
          <w:rtl w:val="true"/>
        </w:rPr>
        <w:t>בהקשר זה הצביעה הוועדה המקומית על מועד הוצאת היתר הבנייה במתחם הלפרין</w:t>
      </w:r>
      <w:r>
        <w:rPr>
          <w:rFonts w:cs="David" w:ascii="David" w:hAnsi="David"/>
          <w:rtl w:val="true"/>
        </w:rPr>
        <w:t xml:space="preserve">, </w:t>
      </w:r>
      <w:r>
        <w:rPr>
          <w:rFonts w:ascii="David" w:hAnsi="David" w:cs="David"/>
          <w:rtl w:val="true"/>
        </w:rPr>
        <w:t>על התחשבות כפולה בפרויקט ההסתדרות ועל משך הזמן שיוחס לפרויקט קריית צאנז</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cs="David" w:ascii="David" w:hAnsi="David"/>
          <w:color w:val="FFFFFF"/>
          <w:sz w:val="2"/>
          <w:szCs w:val="2"/>
        </w:rPr>
        <w:t>054678313</w:t>
      </w:r>
      <w:r>
        <w:rPr>
          <w:rFonts w:ascii="David" w:hAnsi="David" w:cs="David"/>
          <w:rtl w:val="true"/>
        </w:rPr>
        <w:t>אף אם נקבל כי נפלו טעויות בעניינים אלה</w:t>
      </w:r>
      <w:r>
        <w:rPr>
          <w:rFonts w:cs="David" w:ascii="David" w:hAnsi="David"/>
          <w:rtl w:val="true"/>
        </w:rPr>
        <w:t xml:space="preserve">, </w:t>
      </w:r>
      <w:r>
        <w:rPr>
          <w:rFonts w:ascii="David" w:hAnsi="David" w:cs="David"/>
          <w:rtl w:val="true"/>
        </w:rPr>
        <w:t>השפעתן הנטענת על משך הדחייה מסתכמת בחודשים ספורים ואין בכך כדי להצדיק שינוי בתוצאה שאליה הגיעה השמאית המכריעה</w:t>
      </w:r>
      <w:r>
        <w:rPr>
          <w:rFonts w:cs="David" w:ascii="David" w:hAnsi="David"/>
          <w:rtl w:val="true"/>
        </w:rPr>
        <w:t xml:space="preserve">. </w:t>
      </w:r>
      <w:r>
        <w:rPr>
          <w:rFonts w:ascii="David" w:hAnsi="David" w:cs="David"/>
          <w:rtl w:val="true"/>
        </w:rPr>
        <w:t>מדובר במספר מצומצם של נתונים מתוך מכלול רחב של נתונים שנבחנו</w:t>
      </w:r>
      <w:r>
        <w:rPr>
          <w:rFonts w:cs="David" w:ascii="David" w:hAnsi="David"/>
          <w:rtl w:val="true"/>
        </w:rPr>
        <w:t xml:space="preserve">, </w:t>
      </w:r>
      <w:r>
        <w:rPr>
          <w:rFonts w:ascii="David" w:hAnsi="David" w:cs="David"/>
          <w:rtl w:val="true"/>
        </w:rPr>
        <w:t>ואין בטעויות הנטענות</w:t>
      </w:r>
      <w:r>
        <w:rPr>
          <w:rFonts w:cs="David" w:ascii="David" w:hAnsi="David"/>
          <w:rtl w:val="true"/>
        </w:rPr>
        <w:t xml:space="preserve">, </w:t>
      </w:r>
      <w:r>
        <w:rPr>
          <w:rFonts w:ascii="David" w:hAnsi="David" w:cs="David"/>
          <w:rtl w:val="true"/>
        </w:rPr>
        <w:t>כשלעצמן</w:t>
      </w:r>
      <w:r>
        <w:rPr>
          <w:rFonts w:cs="David" w:ascii="David" w:hAnsi="David"/>
          <w:rtl w:val="true"/>
        </w:rPr>
        <w:t xml:space="preserve">, </w:t>
      </w:r>
      <w:r>
        <w:rPr>
          <w:rFonts w:ascii="David" w:hAnsi="David" w:cs="David"/>
          <w:rtl w:val="true"/>
        </w:rPr>
        <w:t>כדי לערער את התשתית המקצועית הכוללת שעליה מבוססת הקביעה בדבר משך הדחייה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בדומה</w:t>
      </w:r>
      <w:r>
        <w:rPr>
          <w:rFonts w:cs="David" w:ascii="David" w:hAnsi="David"/>
          <w:rtl w:val="true"/>
        </w:rPr>
        <w:t xml:space="preserve">, </w:t>
      </w:r>
      <w:r>
        <w:rPr>
          <w:rFonts w:ascii="David" w:hAnsi="David" w:cs="David"/>
          <w:rtl w:val="true"/>
        </w:rPr>
        <w:t>אין לקבל את טענות דמרי באשר למשך הדחייה</w:t>
      </w:r>
      <w:r>
        <w:rPr>
          <w:rFonts w:cs="David" w:ascii="David" w:hAnsi="David"/>
          <w:rtl w:val="true"/>
        </w:rPr>
        <w:t xml:space="preserve">. </w:t>
      </w:r>
      <w:r>
        <w:rPr>
          <w:rFonts w:ascii="David" w:hAnsi="David" w:cs="David"/>
          <w:rtl w:val="true"/>
        </w:rPr>
        <w:t>מסד הנתונים שעליו מבקשת דמרי להסתמך מתייחס למיזמים המצויים בערים אחרות</w:t>
      </w:r>
      <w:r>
        <w:rPr>
          <w:rFonts w:cs="David" w:ascii="David" w:hAnsi="David"/>
          <w:rtl w:val="true"/>
        </w:rPr>
        <w:t xml:space="preserve">, </w:t>
      </w:r>
      <w:r>
        <w:rPr>
          <w:rFonts w:ascii="David" w:hAnsi="David" w:cs="David"/>
          <w:rtl w:val="true"/>
        </w:rPr>
        <w:t>ומשכך מידת התאמתו לענייננו מוגבלת</w:t>
      </w:r>
      <w:r>
        <w:rPr>
          <w:rFonts w:cs="David" w:ascii="David" w:hAnsi="David"/>
          <w:rtl w:val="true"/>
        </w:rPr>
        <w:t xml:space="preserve">. </w:t>
      </w:r>
      <w:r>
        <w:rPr>
          <w:rFonts w:ascii="David" w:hAnsi="David" w:cs="David"/>
          <w:rtl w:val="true"/>
        </w:rPr>
        <w:t>נתונים אלה הוצגו לשמאית המכריעה</w:t>
      </w:r>
      <w:r>
        <w:rPr>
          <w:rFonts w:cs="David" w:ascii="David" w:hAnsi="David"/>
          <w:rtl w:val="true"/>
        </w:rPr>
        <w:t xml:space="preserve">, </w:t>
      </w:r>
      <w:r>
        <w:rPr>
          <w:rFonts w:ascii="David" w:hAnsi="David" w:cs="David"/>
          <w:rtl w:val="true"/>
        </w:rPr>
        <w:t>והיא לא מצאה לאמצם</w:t>
      </w:r>
      <w:r>
        <w:rPr>
          <w:rFonts w:cs="David" w:ascii="David" w:hAnsi="David"/>
          <w:rtl w:val="true"/>
        </w:rPr>
        <w:t xml:space="preserve">. </w:t>
      </w:r>
      <w:r>
        <w:rPr>
          <w:rFonts w:ascii="David" w:hAnsi="David" w:cs="David"/>
          <w:rtl w:val="true"/>
        </w:rPr>
        <w:t>במבט כולל</w:t>
      </w:r>
      <w:r>
        <w:rPr>
          <w:rFonts w:cs="David" w:ascii="David" w:hAnsi="David"/>
          <w:rtl w:val="true"/>
        </w:rPr>
        <w:t xml:space="preserve">, </w:t>
      </w:r>
      <w:r>
        <w:rPr>
          <w:rFonts w:ascii="David" w:hAnsi="David" w:cs="David"/>
          <w:rtl w:val="true"/>
        </w:rPr>
        <w:t>קביעתה של השמאית המכריעה משקפת איזון מקצועי וסביר בין מכלול הנתונים שהונחו לפניה</w:t>
      </w:r>
      <w:r>
        <w:rPr>
          <w:rFonts w:cs="David" w:ascii="David" w:hAnsi="David"/>
          <w:rtl w:val="true"/>
        </w:rPr>
        <w:t xml:space="preserve">, </w:t>
      </w:r>
      <w:r>
        <w:rPr>
          <w:rFonts w:ascii="David" w:hAnsi="David" w:cs="David"/>
          <w:rtl w:val="true"/>
        </w:rPr>
        <w:t>תוך התאמתם למאפייניו הייחודיים של המיזם המקודם מכוחה של התוכנית</w:t>
      </w:r>
      <w:r>
        <w:rPr>
          <w:rFonts w:cs="David" w:ascii="David" w:hAnsi="David"/>
          <w:rtl w:val="true"/>
        </w:rPr>
        <w:t>.</w:t>
      </w:r>
    </w:p>
    <w:p>
      <w:pPr>
        <w:pStyle w:val="Heading2"/>
        <w:suppressLineNumbers/>
        <w:spacing w:before="240" w:after="240"/>
        <w:ind w:firstLine="510" w:end="0"/>
        <w:jc w:val="both"/>
        <w:rPr/>
      </w:pPr>
      <w:r>
        <w:rPr>
          <w:rtl w:val="true"/>
        </w:rPr>
        <w:t>פטור</w:t>
      </w:r>
      <w:r>
        <w:rPr>
          <w:rFonts w:eastAsia="Cambria" w:cs="Cambria"/>
          <w:rtl w:val="true"/>
        </w:rPr>
        <w:t xml:space="preserve"> </w:t>
      </w:r>
      <w:r>
        <w:rPr>
          <w:rtl w:val="true"/>
        </w:rPr>
        <w:t>מהיטל</w:t>
      </w:r>
      <w:r>
        <w:rPr>
          <w:rFonts w:eastAsia="Cambria" w:cs="Cambria"/>
          <w:rtl w:val="true"/>
        </w:rPr>
        <w:t xml:space="preserve"> </w:t>
      </w:r>
      <w:r>
        <w:rPr>
          <w:rtl w:val="true"/>
        </w:rPr>
        <w:t>השבחה</w:t>
      </w:r>
      <w:r>
        <w:rPr>
          <w:rFonts w:eastAsia="Cambria" w:cs="Cambria"/>
          <w:rtl w:val="true"/>
        </w:rPr>
        <w:t xml:space="preserve"> </w:t>
      </w:r>
      <w:r>
        <w:rPr>
          <w:rtl w:val="true"/>
        </w:rPr>
        <w:t>–</w:t>
      </w:r>
      <w:r>
        <w:rPr>
          <w:rFonts w:eastAsia="Cambria" w:cs="Cambria"/>
          <w:rtl w:val="true"/>
        </w:rPr>
        <w:t xml:space="preserve"> </w:t>
      </w:r>
      <w:r>
        <w:rPr>
          <w:rtl w:val="true"/>
        </w:rPr>
        <w:t>מרחבים</w:t>
      </w:r>
      <w:r>
        <w:rPr>
          <w:rFonts w:eastAsia="Cambria" w:cs="Cambria"/>
          <w:rtl w:val="true"/>
        </w:rPr>
        <w:t xml:space="preserve"> </w:t>
      </w:r>
      <w:r>
        <w:rPr>
          <w:rtl w:val="true"/>
        </w:rPr>
        <w:t>מוגנים</w:t>
      </w:r>
    </w:p>
    <w:p>
      <w:pPr>
        <w:pStyle w:val="Ruller43"/>
        <w:numPr>
          <w:ilvl w:val="0"/>
          <w:numId w:val="14"/>
        </w:numPr>
        <w:tabs>
          <w:tab w:val="clear" w:pos="800"/>
          <w:tab w:val="left" w:pos="1361" w:leader="none"/>
        </w:tabs>
        <w:spacing w:before="240" w:after="240"/>
        <w:ind w:hanging="510" w:start="510" w:end="0"/>
        <w:jc w:val="both"/>
        <w:rPr>
          <w:rFonts w:ascii="David" w:hAnsi="David" w:cs="David"/>
        </w:rPr>
      </w:pPr>
      <w:r>
        <w:rPr>
          <w:rFonts w:ascii="David" w:hAnsi="David" w:cs="David"/>
          <w:rtl w:val="true"/>
        </w:rPr>
        <w:t>סעיף הפטור כמשמעותו לעיל קובע פטור בגין השבחה במקרקעין הנובעת מבניית מרחב מוגן</w:t>
      </w:r>
      <w:r>
        <w:rPr>
          <w:rFonts w:cs="David" w:ascii="David" w:hAnsi="David"/>
          <w:rtl w:val="true"/>
        </w:rPr>
        <w:t xml:space="preserve">, </w:t>
      </w:r>
      <w:r>
        <w:rPr>
          <w:rFonts w:ascii="David" w:hAnsi="David" w:cs="David"/>
          <w:rtl w:val="true"/>
        </w:rPr>
        <w:t>וזאת בשטח מוגדר ועל פי התנאים הקבועים בסעיף הפטור</w:t>
      </w:r>
      <w:r>
        <w:rPr>
          <w:rFonts w:cs="David" w:ascii="David" w:hAnsi="David"/>
          <w:rtl w:val="true"/>
        </w:rPr>
        <w:t xml:space="preserve">, </w:t>
      </w:r>
      <w:r>
        <w:rPr>
          <w:rFonts w:ascii="David" w:hAnsi="David" w:cs="David"/>
          <w:rtl w:val="true"/>
        </w:rPr>
        <w:t>שנוסחו הוא כלהלן</w:t>
      </w:r>
      <w:r>
        <w:rPr>
          <w:rFonts w:cs="David" w:ascii="David" w:hAnsi="David"/>
          <w:rtl w:val="true"/>
        </w:rPr>
        <w:t>:</w:t>
      </w:r>
    </w:p>
    <w:tbl>
      <w:tblPr>
        <w:bidiVisual w:val="true"/>
        <w:tblW w:w="8313" w:type="dxa"/>
        <w:jc w:val="end"/>
        <w:tblInd w:w="0" w:type="dxa"/>
        <w:tblLayout w:type="fixed"/>
        <w:tblCellMar>
          <w:top w:w="0" w:type="dxa"/>
          <w:start w:w="108" w:type="dxa"/>
          <w:bottom w:w="0" w:type="dxa"/>
          <w:end w:w="108" w:type="dxa"/>
        </w:tblCellMar>
      </w:tblPr>
      <w:tblGrid>
        <w:gridCol w:w="2106"/>
        <w:gridCol w:w="922"/>
        <w:gridCol w:w="3474"/>
        <w:gridCol w:w="1811"/>
      </w:tblGrid>
      <w:tr>
        <w:trPr/>
        <w:tc>
          <w:tcPr>
            <w:tcW w:w="2106" w:type="dxa"/>
            <w:tcBorders/>
          </w:tcPr>
          <w:p>
            <w:pPr>
              <w:pStyle w:val="ListParagraph"/>
              <w:spacing w:lineRule="auto" w:line="276" w:before="120" w:after="120"/>
              <w:ind w:start="0" w:end="0"/>
              <w:contextualSpacing w:val="false"/>
              <w:jc w:val="end"/>
              <w:rPr>
                <w:rFonts w:ascii="David" w:hAnsi="David" w:cs="David"/>
                <w:sz w:val="28"/>
                <w:szCs w:val="28"/>
              </w:rPr>
            </w:pPr>
            <w:r>
              <w:rPr>
                <w:rFonts w:cs="David" w:ascii="David" w:hAnsi="David"/>
                <w:sz w:val="28"/>
                <w:szCs w:val="28"/>
                <w:rtl w:val="true"/>
              </w:rPr>
              <w:t>"</w:t>
            </w:r>
            <w:r>
              <w:rPr>
                <w:rFonts w:cs="David" w:ascii="David" w:hAnsi="David"/>
                <w:sz w:val="28"/>
                <w:szCs w:val="28"/>
              </w:rPr>
              <w:t>19</w:t>
            </w:r>
            <w:r>
              <w:rPr>
                <w:rFonts w:cs="David" w:ascii="David" w:hAnsi="David"/>
                <w:sz w:val="28"/>
                <w:szCs w:val="28"/>
                <w:rtl w:val="true"/>
              </w:rPr>
              <w:t>.(</w:t>
            </w:r>
            <w:r>
              <w:rPr>
                <w:rFonts w:ascii="David" w:hAnsi="David" w:cs="David"/>
                <w:sz w:val="28"/>
                <w:sz w:val="28"/>
                <w:szCs w:val="28"/>
                <w:rtl w:val="true"/>
              </w:rPr>
              <w:t>ב</w:t>
            </w:r>
            <w:r>
              <w:rPr>
                <w:rFonts w:cs="David" w:ascii="David" w:hAnsi="David"/>
                <w:sz w:val="28"/>
                <w:szCs w:val="28"/>
                <w:rtl w:val="true"/>
              </w:rPr>
              <w:t>).</w:t>
            </w:r>
          </w:p>
        </w:tc>
        <w:tc>
          <w:tcPr>
            <w:tcW w:w="4396" w:type="dxa"/>
            <w:gridSpan w:val="2"/>
            <w:tcBorders/>
          </w:tcPr>
          <w:p>
            <w:pPr>
              <w:pStyle w:val="ListParagraph"/>
              <w:spacing w:lineRule="auto" w:line="276" w:before="120" w:after="120"/>
              <w:ind w:start="0" w:end="0"/>
              <w:contextualSpacing w:val="false"/>
              <w:jc w:val="both"/>
              <w:rPr>
                <w:rFonts w:ascii="David" w:hAnsi="David" w:cs="David"/>
                <w:sz w:val="28"/>
                <w:szCs w:val="28"/>
              </w:rPr>
            </w:pPr>
            <w:r>
              <w:rPr>
                <w:rFonts w:ascii="David" w:hAnsi="David" w:cs="David"/>
                <w:sz w:val="28"/>
                <w:sz w:val="28"/>
                <w:szCs w:val="28"/>
                <w:rtl w:val="true"/>
              </w:rPr>
              <w:t>לא תחול חובת תשלום היטל בשל השבחה שהיא אחת מאלה</w:t>
            </w:r>
            <w:r>
              <w:rPr>
                <w:rFonts w:cs="David" w:ascii="David" w:hAnsi="David"/>
                <w:sz w:val="28"/>
                <w:szCs w:val="28"/>
                <w:rtl w:val="true"/>
              </w:rPr>
              <w:t>:</w:t>
            </w:r>
          </w:p>
        </w:tc>
        <w:tc>
          <w:tcPr>
            <w:tcW w:w="1811" w:type="dxa"/>
            <w:tcBorders/>
          </w:tcPr>
          <w:p>
            <w:pPr>
              <w:pStyle w:val="ListParagraph"/>
              <w:snapToGrid w:val="false"/>
              <w:spacing w:lineRule="auto" w:line="276" w:before="120" w:after="120"/>
              <w:ind w:start="0" w:end="0"/>
              <w:contextualSpacing w:val="false"/>
              <w:jc w:val="start"/>
              <w:rPr>
                <w:rFonts w:ascii="David" w:hAnsi="David" w:cs="David"/>
                <w:sz w:val="28"/>
                <w:szCs w:val="28"/>
              </w:rPr>
            </w:pPr>
            <w:r>
              <w:rPr>
                <w:rFonts w:cs="David" w:ascii="David" w:hAnsi="David"/>
                <w:sz w:val="28"/>
                <w:szCs w:val="28"/>
                <w:rtl w:val="true"/>
              </w:rPr>
            </w:r>
          </w:p>
        </w:tc>
      </w:tr>
      <w:tr>
        <w:trPr/>
        <w:tc>
          <w:tcPr>
            <w:tcW w:w="2106" w:type="dxa"/>
            <w:tcBorders/>
          </w:tcPr>
          <w:p>
            <w:pPr>
              <w:pStyle w:val="ListParagraph"/>
              <w:snapToGrid w:val="false"/>
              <w:spacing w:lineRule="auto" w:line="276" w:before="120" w:after="120"/>
              <w:ind w:start="0" w:end="0"/>
              <w:contextualSpacing w:val="false"/>
              <w:jc w:val="start"/>
              <w:rPr>
                <w:rFonts w:ascii="David" w:hAnsi="David" w:cs="David"/>
                <w:sz w:val="28"/>
                <w:szCs w:val="28"/>
              </w:rPr>
            </w:pPr>
            <w:r>
              <w:rPr>
                <w:rFonts w:cs="David" w:ascii="David" w:hAnsi="David"/>
                <w:sz w:val="28"/>
                <w:szCs w:val="28"/>
                <w:rtl w:val="true"/>
              </w:rPr>
            </w:r>
          </w:p>
        </w:tc>
        <w:tc>
          <w:tcPr>
            <w:tcW w:w="922" w:type="dxa"/>
            <w:tcBorders/>
          </w:tcPr>
          <w:p>
            <w:pPr>
              <w:pStyle w:val="ListParagraph"/>
              <w:spacing w:lineRule="auto" w:line="276" w:before="120" w:after="120"/>
              <w:ind w:start="0" w:end="0"/>
              <w:contextualSpacing w:val="false"/>
              <w:jc w:val="start"/>
              <w:rPr>
                <w:rFonts w:ascii="David" w:hAnsi="David" w:cs="David"/>
                <w:sz w:val="28"/>
                <w:szCs w:val="28"/>
              </w:rPr>
            </w:pPr>
            <w:r>
              <w:rPr>
                <w:rFonts w:cs="David" w:ascii="David" w:hAnsi="David"/>
                <w:sz w:val="28"/>
                <w:szCs w:val="28"/>
                <w:rtl w:val="true"/>
              </w:rPr>
              <w:t>(</w:t>
            </w:r>
            <w:r>
              <w:rPr>
                <w:rFonts w:cs="David" w:ascii="David" w:hAnsi="David"/>
                <w:sz w:val="28"/>
                <w:szCs w:val="28"/>
              </w:rPr>
              <w:t>9</w:t>
            </w:r>
            <w:r>
              <w:rPr>
                <w:rFonts w:cs="David" w:ascii="David" w:hAnsi="David"/>
                <w:sz w:val="28"/>
                <w:szCs w:val="28"/>
                <w:rtl w:val="true"/>
              </w:rPr>
              <w:t>).(</w:t>
            </w:r>
            <w:r>
              <w:rPr>
                <w:rFonts w:ascii="David" w:hAnsi="David" w:cs="David"/>
                <w:sz w:val="28"/>
                <w:sz w:val="28"/>
                <w:szCs w:val="28"/>
                <w:rtl w:val="true"/>
              </w:rPr>
              <w:t>א</w:t>
            </w:r>
            <w:r>
              <w:rPr>
                <w:rFonts w:cs="David" w:ascii="David" w:hAnsi="David"/>
                <w:sz w:val="28"/>
                <w:szCs w:val="28"/>
                <w:rtl w:val="true"/>
              </w:rPr>
              <w:t>).</w:t>
            </w:r>
          </w:p>
        </w:tc>
        <w:tc>
          <w:tcPr>
            <w:tcW w:w="3474" w:type="dxa"/>
            <w:tcBorders/>
          </w:tcPr>
          <w:p>
            <w:pPr>
              <w:pStyle w:val="ListParagraph"/>
              <w:spacing w:lineRule="auto" w:line="276" w:before="120" w:after="120"/>
              <w:ind w:start="0" w:end="0"/>
              <w:contextualSpacing w:val="false"/>
              <w:jc w:val="both"/>
              <w:rPr/>
            </w:pPr>
            <w:r>
              <w:rPr>
                <w:rFonts w:ascii="David" w:hAnsi="David" w:cs="David"/>
                <w:sz w:val="28"/>
                <w:sz w:val="28"/>
                <w:szCs w:val="28"/>
                <w:rtl w:val="true"/>
              </w:rPr>
              <w:t xml:space="preserve">השבחה במקרקעין בשל בניית מרחב מוגן בשטח שלא יעלה על השטח שנקבע לפי </w:t>
            </w:r>
            <w:hyperlink r:id="rId15">
              <w:r>
                <w:rPr>
                  <w:rStyle w:val="Hyperlink"/>
                  <w:rFonts w:ascii="David" w:hAnsi="David" w:cs="David"/>
                  <w:color w:val="0000FF"/>
                  <w:sz w:val="28"/>
                  <w:sz w:val="28"/>
                  <w:szCs w:val="28"/>
                  <w:u w:val="single"/>
                  <w:rtl w:val="true"/>
                </w:rPr>
                <w:t>חוק ההתגוננות האזרחית</w:t>
              </w:r>
            </w:hyperlink>
            <w:r>
              <w:rPr>
                <w:rFonts w:cs="David" w:ascii="David" w:hAnsi="David"/>
                <w:sz w:val="28"/>
                <w:szCs w:val="28"/>
                <w:rtl w:val="true"/>
              </w:rPr>
              <w:t xml:space="preserve">, </w:t>
            </w:r>
            <w:r>
              <w:rPr>
                <w:rFonts w:ascii="David" w:hAnsi="David" w:cs="David"/>
                <w:sz w:val="28"/>
                <w:sz w:val="28"/>
                <w:szCs w:val="28"/>
                <w:rtl w:val="true"/>
              </w:rPr>
              <w:t>התשי</w:t>
            </w:r>
            <w:r>
              <w:rPr>
                <w:rFonts w:cs="David" w:ascii="David" w:hAnsi="David"/>
                <w:sz w:val="28"/>
                <w:szCs w:val="28"/>
                <w:rtl w:val="true"/>
              </w:rPr>
              <w:t>"</w:t>
            </w:r>
            <w:r>
              <w:rPr>
                <w:rFonts w:ascii="David" w:hAnsi="David" w:cs="David"/>
                <w:sz w:val="28"/>
                <w:sz w:val="28"/>
                <w:szCs w:val="28"/>
                <w:rtl w:val="true"/>
              </w:rPr>
              <w:t>א</w:t>
            </w:r>
            <w:r>
              <w:rPr>
                <w:rFonts w:cs="David" w:ascii="David" w:hAnsi="David"/>
                <w:sz w:val="28"/>
                <w:szCs w:val="28"/>
                <w:rtl w:val="true"/>
              </w:rPr>
              <w:t>-</w:t>
            </w:r>
            <w:r>
              <w:rPr>
                <w:rFonts w:cs="David" w:ascii="David" w:hAnsi="David"/>
                <w:sz w:val="28"/>
                <w:szCs w:val="28"/>
              </w:rPr>
              <w:t>1951</w:t>
            </w:r>
            <w:r>
              <w:rPr>
                <w:rFonts w:cs="David" w:ascii="David" w:hAnsi="David"/>
                <w:sz w:val="28"/>
                <w:szCs w:val="28"/>
                <w:rtl w:val="true"/>
              </w:rPr>
              <w:t xml:space="preserve"> </w:t>
            </w:r>
            <w:r>
              <w:rPr>
                <w:rFonts w:ascii="David" w:hAnsi="David" w:cs="David"/>
                <w:sz w:val="28"/>
                <w:sz w:val="28"/>
                <w:szCs w:val="28"/>
                <w:rtl w:val="true"/>
              </w:rPr>
              <w:t>או השבחה במקרקעין בשל בניית חדר עם שיפורי מיגון בשטח כאמור</w:t>
            </w:r>
            <w:r>
              <w:rPr>
                <w:rFonts w:cs="David" w:ascii="David" w:hAnsi="David"/>
                <w:sz w:val="28"/>
                <w:szCs w:val="28"/>
                <w:rtl w:val="true"/>
              </w:rPr>
              <w:t xml:space="preserve">, </w:t>
            </w:r>
            <w:r>
              <w:rPr>
                <w:rFonts w:ascii="David" w:hAnsi="David" w:cs="David"/>
                <w:sz w:val="28"/>
                <w:sz w:val="28"/>
                <w:szCs w:val="28"/>
                <w:rtl w:val="true"/>
              </w:rPr>
              <w:t>בהתאם להוראות הרשות המוסמכת כמשמעותה בחוק האמור</w:t>
            </w:r>
            <w:r>
              <w:rPr>
                <w:rFonts w:cs="David" w:ascii="David" w:hAnsi="David"/>
                <w:sz w:val="28"/>
                <w:szCs w:val="28"/>
                <w:rtl w:val="true"/>
              </w:rPr>
              <w:t xml:space="preserve">, </w:t>
            </w:r>
            <w:r>
              <w:rPr>
                <w:rFonts w:ascii="David" w:hAnsi="David" w:cs="David"/>
                <w:sz w:val="28"/>
                <w:sz w:val="28"/>
                <w:szCs w:val="28"/>
                <w:rtl w:val="true"/>
              </w:rPr>
              <w:t>אם לא ניתן לבנות מרחב מוגן באותו מבנה</w:t>
            </w:r>
            <w:r>
              <w:rPr>
                <w:rFonts w:cs="David" w:ascii="David" w:hAnsi="David"/>
                <w:sz w:val="28"/>
                <w:szCs w:val="28"/>
                <w:rtl w:val="true"/>
              </w:rPr>
              <w:t>;</w:t>
            </w:r>
          </w:p>
        </w:tc>
        <w:tc>
          <w:tcPr>
            <w:tcW w:w="1811" w:type="dxa"/>
            <w:tcBorders/>
          </w:tcPr>
          <w:p>
            <w:pPr>
              <w:pStyle w:val="ListParagraph"/>
              <w:snapToGrid w:val="false"/>
              <w:spacing w:lineRule="auto" w:line="276" w:before="120" w:after="120"/>
              <w:ind w:start="0" w:end="0"/>
              <w:contextualSpacing w:val="false"/>
              <w:jc w:val="start"/>
              <w:rPr>
                <w:rFonts w:ascii="David" w:hAnsi="David" w:cs="David"/>
                <w:sz w:val="28"/>
                <w:szCs w:val="28"/>
              </w:rPr>
            </w:pPr>
            <w:r>
              <w:rPr>
                <w:rFonts w:cs="David" w:ascii="David" w:hAnsi="David"/>
                <w:sz w:val="28"/>
                <w:szCs w:val="28"/>
                <w:rtl w:val="true"/>
              </w:rPr>
            </w:r>
          </w:p>
        </w:tc>
      </w:tr>
    </w:tbl>
    <w:p>
      <w:pPr>
        <w:pStyle w:val="Ruller43"/>
        <w:numPr>
          <w:ilvl w:val="0"/>
          <w:numId w:val="14"/>
        </w:numPr>
        <w:tabs>
          <w:tab w:val="clear" w:pos="800"/>
        </w:tabs>
        <w:spacing w:before="240" w:after="240"/>
        <w:ind w:hanging="510" w:start="510" w:end="0"/>
        <w:jc w:val="both"/>
        <w:rPr>
          <w:rFonts w:ascii="David" w:hAnsi="David" w:cs="David"/>
        </w:rPr>
      </w:pPr>
      <w:r>
        <w:rPr>
          <w:rFonts w:ascii="David" w:hAnsi="David" w:cs="David"/>
          <w:sz w:val="28"/>
          <w:sz w:val="28"/>
          <w:rtl w:val="true"/>
        </w:rPr>
        <w:t>עמדתם העקבית של ועדות הערר ובתי המשפט היא כי תחולתו של סעיף הפטור מותנית בבניית ממ</w:t>
      </w:r>
      <w:r>
        <w:rPr>
          <w:rFonts w:cs="David" w:ascii="David" w:hAnsi="David"/>
          <w:sz w:val="28"/>
          <w:rtl w:val="true"/>
        </w:rPr>
        <w:t>"</w:t>
      </w:r>
      <w:r>
        <w:rPr>
          <w:rFonts w:ascii="David" w:hAnsi="David" w:cs="David"/>
          <w:sz w:val="28"/>
          <w:sz w:val="28"/>
          <w:rtl w:val="true"/>
        </w:rPr>
        <w:t>ד בפועל</w:t>
      </w:r>
      <w:r>
        <w:rPr>
          <w:rFonts w:cs="David" w:ascii="David" w:hAnsi="David"/>
          <w:sz w:val="28"/>
          <w:rtl w:val="true"/>
        </w:rPr>
        <w:t xml:space="preserve">. </w:t>
      </w:r>
      <w:r>
        <w:rPr>
          <w:rFonts w:ascii="David" w:hAnsi="David" w:cs="David"/>
          <w:sz w:val="28"/>
          <w:sz w:val="28"/>
          <w:rtl w:val="true"/>
        </w:rPr>
        <w:t>תנאי זה עורר ועודנו מעורר התדיינות נרחבת</w:t>
      </w:r>
      <w:r>
        <w:rPr>
          <w:rFonts w:cs="David" w:ascii="David" w:hAnsi="David"/>
          <w:sz w:val="28"/>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בהחלטות שונות שניתנו בעת האחרונה על ידי ועדת ערר זו נקבע כי ההשבחה שבה עוסק סעיף הפטור היא השבחה שמקורה בזכויות התכנוניות להקמת המרחבים המוגנים והקמתם בפועל היא פעולה אשר ניצבת בליבת תכליתו של הפטור</w:t>
      </w:r>
      <w:r>
        <w:rPr>
          <w:rFonts w:cs="David" w:ascii="David" w:hAnsi="David"/>
          <w:rtl w:val="true"/>
        </w:rPr>
        <w:t xml:space="preserve">, </w:t>
      </w:r>
      <w:r>
        <w:rPr>
          <w:rFonts w:ascii="David" w:hAnsi="David" w:cs="David"/>
          <w:rtl w:val="true"/>
        </w:rPr>
        <w:t>ומשכך היא תנאי לתחולתו</w:t>
      </w:r>
      <w:r>
        <w:rPr>
          <w:rFonts w:cs="David" w:ascii="David" w:hAnsi="David"/>
          <w:rtl w:val="true"/>
        </w:rPr>
        <w:t>.</w:t>
      </w:r>
    </w:p>
    <w:p>
      <w:pPr>
        <w:pStyle w:val="Ruller43"/>
        <w:spacing w:before="240" w:after="240"/>
        <w:ind w:start="510" w:end="0"/>
        <w:jc w:val="both"/>
        <w:rPr>
          <w:rFonts w:ascii="David" w:hAnsi="David" w:cs="David"/>
        </w:rPr>
      </w:pPr>
      <w:r>
        <w:rPr>
          <w:rFonts w:cs="David" w:ascii="David" w:hAnsi="David"/>
          <w:rtl w:val="true"/>
        </w:rPr>
        <w:t>(</w:t>
      </w:r>
      <w:hyperlink r:id="rId16">
        <w:r>
          <w:rPr>
            <w:rStyle w:val="Hyperlink"/>
            <w:rFonts w:ascii="David" w:hAnsi="David" w:cs="David"/>
            <w:color w:val="0000FF"/>
            <w:u w:val="single"/>
            <w:rtl w:val="true"/>
          </w:rPr>
          <w:t xml:space="preserve">ערר </w:t>
        </w:r>
        <w:r>
          <w:rPr>
            <w:rStyle w:val="Hyperlink"/>
            <w:rFonts w:cs="David" w:ascii="David" w:hAnsi="David"/>
            <w:color w:val="0000FF"/>
            <w:u w:val="single"/>
            <w:rtl w:val="true"/>
          </w:rPr>
          <w:t>(</w:t>
        </w:r>
        <w:r>
          <w:rPr>
            <w:rStyle w:val="Hyperlink"/>
            <w:rFonts w:ascii="David" w:hAnsi="David" w:cs="David"/>
            <w:color w:val="0000FF"/>
            <w:u w:val="single"/>
            <w:rtl w:val="true"/>
          </w:rPr>
          <w:t>מרכז</w:t>
        </w:r>
        <w:r>
          <w:rPr>
            <w:rStyle w:val="Hyperlink"/>
            <w:rFonts w:cs="David" w:ascii="David" w:hAnsi="David"/>
            <w:color w:val="0000FF"/>
            <w:u w:val="single"/>
            <w:rtl w:val="true"/>
          </w:rPr>
          <w:t xml:space="preserve">) </w:t>
        </w:r>
        <w:r>
          <w:rPr>
            <w:rStyle w:val="Hyperlink"/>
            <w:rFonts w:cs="David" w:ascii="David" w:hAnsi="David"/>
            <w:color w:val="0000FF"/>
            <w:u w:val="single"/>
          </w:rPr>
          <w:t>8011-02-26</w:t>
        </w:r>
        <w:r>
          <w:rPr>
            <w:rStyle w:val="Hyperlink"/>
            <w:rFonts w:cs="David" w:ascii="David" w:hAnsi="David"/>
            <w:color w:val="0000FF"/>
            <w:u w:val="single"/>
            <w:rtl w:val="true"/>
          </w:rPr>
          <w:t xml:space="preserve"> </w:t>
        </w:r>
        <w:r>
          <w:rPr>
            <w:rStyle w:val="Hyperlink"/>
            <w:rFonts w:ascii="David" w:hAnsi="David" w:cs="David"/>
            <w:color w:val="0000FF"/>
            <w:u w:val="single"/>
            <w:rtl w:val="true"/>
          </w:rPr>
          <w:t>הו</w:t>
        </w:r>
      </w:hyperlink>
      <w:r>
        <w:rPr>
          <w:rFonts w:ascii="Miriam" w:hAnsi="Miriam" w:cs="Miriam"/>
          <w:rtl w:val="true"/>
        </w:rPr>
        <w:t>ועדה המקומית לתכנון ולבנייה רעננה נ</w:t>
      </w:r>
      <w:r>
        <w:rPr>
          <w:rFonts w:cs="Miriam" w:ascii="Miriam" w:hAnsi="Miriam"/>
          <w:rtl w:val="true"/>
        </w:rPr>
        <w:t xml:space="preserve">' </w:t>
      </w:r>
      <w:r>
        <w:rPr>
          <w:rFonts w:ascii="Miriam" w:hAnsi="Miriam" w:cs="Miriam"/>
          <w:rtl w:val="true"/>
        </w:rPr>
        <w:t>אדל אוה פאולה אני</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17.6.2026</w:t>
      </w:r>
      <w:r>
        <w:rPr>
          <w:rFonts w:cs="David" w:ascii="David" w:hAnsi="David"/>
          <w:rtl w:val="true"/>
        </w:rPr>
        <w:t xml:space="preserve">); </w:t>
      </w:r>
      <w:r>
        <w:rPr>
          <w:rFonts w:ascii="David" w:hAnsi="David" w:cs="David"/>
          <w:rtl w:val="true"/>
        </w:rPr>
        <w:t xml:space="preserve">ערר </w:t>
      </w:r>
      <w:r>
        <w:rPr>
          <w:rFonts w:cs="David" w:ascii="David" w:hAnsi="David"/>
          <w:rtl w:val="true"/>
        </w:rPr>
        <w:t>(</w:t>
      </w:r>
      <w:r>
        <w:rPr>
          <w:rFonts w:ascii="David" w:hAnsi="David" w:cs="David"/>
          <w:rtl w:val="true"/>
        </w:rPr>
        <w:t>ועדות ערר – תכנון ובנייה מרכז</w:t>
      </w:r>
      <w:r>
        <w:rPr>
          <w:rFonts w:cs="David" w:ascii="David" w:hAnsi="David"/>
          <w:rtl w:val="true"/>
        </w:rPr>
        <w:t xml:space="preserve">) </w:t>
      </w:r>
      <w:r>
        <w:rPr>
          <w:rFonts w:cs="David" w:ascii="David" w:hAnsi="David"/>
        </w:rPr>
        <w:t>8049-08-25</w:t>
      </w:r>
      <w:r>
        <w:rPr>
          <w:rFonts w:cs="David" w:ascii="David" w:hAnsi="David"/>
          <w:rtl w:val="true"/>
        </w:rPr>
        <w:t xml:space="preserve"> </w:t>
      </w:r>
      <w:r>
        <w:rPr>
          <w:rFonts w:ascii="Miriam" w:hAnsi="Miriam" w:cs="Miriam"/>
          <w:rtl w:val="true"/>
        </w:rPr>
        <w:t>פרטיאלי אבנר נ</w:t>
      </w:r>
      <w:r>
        <w:rPr>
          <w:rFonts w:cs="Miriam" w:ascii="Miriam" w:hAnsi="Miriam"/>
          <w:rtl w:val="true"/>
        </w:rPr>
        <w:t xml:space="preserve">' </w:t>
      </w:r>
      <w:r>
        <w:rPr>
          <w:rFonts w:ascii="Miriam" w:hAnsi="Miriam" w:cs="Miriam"/>
          <w:rtl w:val="true"/>
        </w:rPr>
        <w:t>הוועדה המקומית לתכנון ובנייה פתח תקווה</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17.6.2026</w:t>
      </w:r>
      <w:r>
        <w:rPr>
          <w:rFonts w:cs="David" w:ascii="David" w:hAnsi="David"/>
          <w:rtl w:val="true"/>
        </w:rPr>
        <w:t>) (</w:t>
      </w:r>
      <w:r>
        <w:rPr>
          <w:rFonts w:ascii="David" w:hAnsi="David" w:cs="David"/>
          <w:rtl w:val="true"/>
        </w:rPr>
        <w:t>להלן</w:t>
      </w:r>
      <w:r>
        <w:rPr>
          <w:rFonts w:cs="David" w:ascii="David" w:hAnsi="David"/>
          <w:rtl w:val="true"/>
        </w:rPr>
        <w:t>:</w:t>
      </w:r>
      <w:r>
        <w:rPr>
          <w:rFonts w:cs="Miriam" w:ascii="Miriam" w:hAnsi="Miriam"/>
          <w:rtl w:val="true"/>
        </w:rPr>
        <w:t xml:space="preserve"> </w:t>
      </w:r>
      <w:r>
        <w:rPr>
          <w:rFonts w:ascii="Miriam" w:hAnsi="Miriam" w:cs="Miriam"/>
          <w:rtl w:val="true"/>
        </w:rPr>
        <w:t>עניין</w:t>
      </w:r>
      <w:r>
        <w:rPr>
          <w:rFonts w:ascii="David" w:hAnsi="David" w:cs="David"/>
          <w:rtl w:val="true"/>
        </w:rPr>
        <w:t xml:space="preserve"> </w:t>
      </w:r>
      <w:r>
        <w:rPr>
          <w:rFonts w:ascii="Miriam" w:hAnsi="Miriam" w:cs="Miriam"/>
          <w:rtl w:val="true"/>
        </w:rPr>
        <w:t>פרטיאלי</w:t>
      </w:r>
      <w:r>
        <w:rPr>
          <w:rFonts w:cs="David" w:ascii="David" w:hAnsi="David"/>
          <w:rtl w:val="true"/>
        </w:rPr>
        <w:t xml:space="preserve">); </w:t>
      </w:r>
      <w:hyperlink r:id="rId17">
        <w:r>
          <w:rPr>
            <w:rStyle w:val="Hyperlink"/>
            <w:rFonts w:ascii="David" w:hAnsi="David" w:cs="David"/>
            <w:color w:val="0000FF"/>
            <w:u w:val="single"/>
            <w:rtl w:val="true"/>
          </w:rPr>
          <w:t xml:space="preserve">ערר </w:t>
        </w:r>
        <w:r>
          <w:rPr>
            <w:rStyle w:val="Hyperlink"/>
            <w:rFonts w:cs="David" w:ascii="David" w:hAnsi="David"/>
            <w:color w:val="0000FF"/>
            <w:u w:val="single"/>
            <w:rtl w:val="true"/>
          </w:rPr>
          <w:t>(</w:t>
        </w:r>
        <w:r>
          <w:rPr>
            <w:rStyle w:val="Hyperlink"/>
            <w:rFonts w:ascii="David" w:hAnsi="David" w:cs="David"/>
            <w:color w:val="0000FF"/>
            <w:u w:val="single"/>
            <w:rtl w:val="true"/>
          </w:rPr>
          <w:t>מרכז</w:t>
        </w:r>
        <w:r>
          <w:rPr>
            <w:rStyle w:val="Hyperlink"/>
            <w:rFonts w:cs="David" w:ascii="David" w:hAnsi="David"/>
            <w:color w:val="0000FF"/>
            <w:u w:val="single"/>
            <w:rtl w:val="true"/>
          </w:rPr>
          <w:t xml:space="preserve">) </w:t>
        </w:r>
        <w:r>
          <w:rPr>
            <w:rStyle w:val="Hyperlink"/>
            <w:rFonts w:cs="David" w:ascii="David" w:hAnsi="David"/>
            <w:color w:val="0000FF"/>
            <w:u w:val="single"/>
          </w:rPr>
          <w:t>8045-05-25</w:t>
        </w:r>
        <w:r>
          <w:rPr>
            <w:rStyle w:val="Hyperlink"/>
            <w:rFonts w:cs="David" w:ascii="David" w:hAnsi="David"/>
            <w:color w:val="0000FF"/>
            <w:u w:val="single"/>
            <w:rtl w:val="true"/>
          </w:rPr>
          <w:t xml:space="preserve"> </w:t>
        </w:r>
        <w:r>
          <w:rPr>
            <w:rStyle w:val="Hyperlink"/>
            <w:rFonts w:ascii="David" w:hAnsi="David" w:cs="David"/>
            <w:color w:val="0000FF"/>
            <w:u w:val="single"/>
            <w:rtl w:val="true"/>
          </w:rPr>
          <w:t>פר</w:t>
        </w:r>
      </w:hyperlink>
      <w:r>
        <w:rPr>
          <w:rFonts w:ascii="Miriam" w:hAnsi="Miriam" w:cs="Miriam"/>
          <w:rtl w:val="true"/>
        </w:rPr>
        <w:t>יצל עומר ואח</w:t>
      </w:r>
      <w:r>
        <w:rPr>
          <w:rFonts w:cs="Miriam" w:ascii="Miriam" w:hAnsi="Miriam"/>
          <w:rtl w:val="true"/>
        </w:rPr>
        <w:t xml:space="preserve">' </w:t>
      </w:r>
      <w:r>
        <w:rPr>
          <w:rFonts w:ascii="Miriam" w:hAnsi="Miriam" w:cs="Miriam"/>
          <w:rtl w:val="true"/>
        </w:rPr>
        <w:t>נ</w:t>
      </w:r>
      <w:r>
        <w:rPr>
          <w:rFonts w:cs="Miriam" w:ascii="Miriam" w:hAnsi="Miriam"/>
          <w:rtl w:val="true"/>
        </w:rPr>
        <w:t xml:space="preserve">' </w:t>
      </w:r>
      <w:r>
        <w:rPr>
          <w:rFonts w:ascii="Miriam" w:hAnsi="Miriam" w:cs="Miriam"/>
          <w:rtl w:val="true"/>
        </w:rPr>
        <w:t>הוועדה המקומית לתכנון ובניה רחובות</w:t>
      </w:r>
      <w:r>
        <w:rPr>
          <w:rFonts w:ascii="David" w:hAnsi="David" w:cs="David"/>
          <w:rtl w:val="true"/>
        </w:rPr>
        <w:t xml:space="preserve"> </w:t>
      </w:r>
      <w:r>
        <w:rPr>
          <w:rFonts w:cs="David" w:ascii="David" w:hAnsi="David"/>
          <w:rtl w:val="true"/>
        </w:rPr>
        <w:t>(</w:t>
      </w:r>
      <w:r>
        <w:rPr>
          <w:rFonts w:ascii="David" w:hAnsi="David" w:cs="David"/>
          <w:rtl w:val="true"/>
        </w:rPr>
        <w:t>נבו</w:t>
      </w:r>
      <w:r>
        <w:rPr>
          <w:rFonts w:cs="David" w:ascii="David" w:hAnsi="David"/>
          <w:rtl w:val="true"/>
        </w:rPr>
        <w:t xml:space="preserve">, </w:t>
      </w:r>
      <w:r>
        <w:rPr>
          <w:rFonts w:cs="David" w:ascii="David" w:hAnsi="David"/>
        </w:rPr>
        <w:t>2.7.2026</w:t>
      </w:r>
      <w:r>
        <w:rPr>
          <w:rFonts w:cs="David" w:ascii="David" w:hAnsi="David"/>
          <w:rtl w:val="true"/>
        </w:rPr>
        <w:t>)).</w:t>
      </w:r>
    </w:p>
    <w:p>
      <w:pPr>
        <w:pStyle w:val="Ruller43"/>
        <w:spacing w:before="240" w:after="240"/>
        <w:ind w:start="510" w:end="0"/>
        <w:jc w:val="both"/>
        <w:rPr>
          <w:rFonts w:ascii="David" w:hAnsi="David" w:cs="David"/>
        </w:rPr>
      </w:pPr>
      <w:r>
        <w:rPr>
          <w:rFonts w:cs="David" w:ascii="David" w:hAnsi="David"/>
          <w:rtl w:val="true"/>
        </w:rPr>
        <w:t>[</w:t>
      </w:r>
      <w:r>
        <w:rPr>
          <w:rFonts w:ascii="David" w:hAnsi="David" w:cs="David"/>
          <w:rtl w:val="true"/>
        </w:rPr>
        <w:t>החלטות אלה עסקו בשאלת תחולתו של הפטור בנסיבות שבהן מומשו הזכויות להקמת מרחבים מוגנים בדרך של עסקת קומבינציה מסוג מכר חלקי</w:t>
      </w:r>
      <w:r>
        <w:rPr>
          <w:rFonts w:cs="David" w:ascii="David" w:hAnsi="David"/>
          <w:rtl w:val="true"/>
        </w:rPr>
        <w:t xml:space="preserve">. </w:t>
      </w:r>
      <w:r>
        <w:rPr>
          <w:rFonts w:ascii="David" w:hAnsi="David" w:cs="David"/>
          <w:rtl w:val="true"/>
        </w:rPr>
        <w:t>לאחרונה ניתן פסק הדין ב</w:t>
      </w:r>
      <w:hyperlink r:id="rId18">
        <w:r>
          <w:rPr>
            <w:rStyle w:val="Hyperlink"/>
            <w:rFonts w:ascii="David" w:hAnsi="David" w:cs="David"/>
            <w:color w:val="0000FF"/>
            <w:u w:val="single"/>
            <w:rtl w:val="true"/>
          </w:rPr>
          <w:t>עמ</w:t>
        </w:r>
        <w:r>
          <w:rPr>
            <w:rStyle w:val="Hyperlink"/>
            <w:rFonts w:cs="David" w:ascii="David" w:hAnsi="David"/>
            <w:color w:val="0000FF"/>
            <w:u w:val="single"/>
            <w:rtl w:val="true"/>
          </w:rPr>
          <w:t>"</w:t>
        </w:r>
        <w:r>
          <w:rPr>
            <w:rStyle w:val="Hyperlink"/>
            <w:rFonts w:ascii="David" w:hAnsi="David" w:cs="David"/>
            <w:color w:val="0000FF"/>
            <w:u w:val="single"/>
            <w:rtl w:val="true"/>
          </w:rPr>
          <w:t xml:space="preserve">נ </w:t>
        </w:r>
        <w:r>
          <w:rPr>
            <w:rStyle w:val="Hyperlink"/>
            <w:rFonts w:cs="David" w:ascii="David" w:hAnsi="David"/>
            <w:color w:val="0000FF"/>
            <w:u w:val="single"/>
            <w:rtl w:val="true"/>
          </w:rPr>
          <w:t>(</w:t>
        </w:r>
        <w:r>
          <w:rPr>
            <w:rStyle w:val="Hyperlink"/>
            <w:rFonts w:ascii="David" w:hAnsi="David" w:cs="David"/>
            <w:color w:val="0000FF"/>
            <w:u w:val="single"/>
            <w:rtl w:val="true"/>
          </w:rPr>
          <w:t>מינהליים מרכז</w:t>
        </w:r>
        <w:r>
          <w:rPr>
            <w:rStyle w:val="Hyperlink"/>
            <w:rFonts w:cs="David" w:ascii="David" w:hAnsi="David"/>
            <w:color w:val="0000FF"/>
            <w:u w:val="single"/>
            <w:rtl w:val="true"/>
          </w:rPr>
          <w:t xml:space="preserve">) </w:t>
        </w:r>
        <w:r>
          <w:rPr>
            <w:rStyle w:val="Hyperlink"/>
            <w:rFonts w:cs="David" w:ascii="David" w:hAnsi="David"/>
            <w:color w:val="0000FF"/>
            <w:u w:val="single"/>
          </w:rPr>
          <w:t>864-02-26</w:t>
        </w:r>
      </w:hyperlink>
      <w:r>
        <w:rPr>
          <w:rFonts w:cs="David" w:ascii="David" w:hAnsi="David"/>
          <w:rtl w:val="true"/>
        </w:rPr>
        <w:t xml:space="preserve"> </w:t>
      </w:r>
      <w:r>
        <w:rPr>
          <w:rFonts w:ascii="Miriam" w:hAnsi="Miriam" w:cs="Miriam"/>
          <w:rtl w:val="true"/>
        </w:rPr>
        <w:t>ועדה מקומית לתכנון ראשון לציון נ</w:t>
      </w:r>
      <w:r>
        <w:rPr>
          <w:rFonts w:cs="Miriam" w:ascii="Miriam" w:hAnsi="Miriam"/>
          <w:rtl w:val="true"/>
        </w:rPr>
        <w:t xml:space="preserve">' </w:t>
      </w:r>
      <w:r>
        <w:rPr>
          <w:rFonts w:ascii="Miriam" w:hAnsi="Miriam" w:cs="Miriam"/>
          <w:rtl w:val="true"/>
        </w:rPr>
        <w:t>ישעיהו זילונקה</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29.9.2026</w:t>
      </w:r>
      <w:r>
        <w:rPr>
          <w:rFonts w:cs="David" w:ascii="David" w:hAnsi="David"/>
          <w:rtl w:val="true"/>
        </w:rPr>
        <w:t xml:space="preserve">). </w:t>
      </w:r>
      <w:r>
        <w:rPr>
          <w:rFonts w:ascii="David" w:hAnsi="David" w:cs="David"/>
          <w:rtl w:val="true"/>
        </w:rPr>
        <w:t>באותו עניין התקבל ערעור על החלטתה של ועדת ערר זו</w:t>
      </w:r>
      <w:r>
        <w:rPr>
          <w:rFonts w:cs="David" w:ascii="David" w:hAnsi="David"/>
          <w:rtl w:val="true"/>
        </w:rPr>
        <w:t xml:space="preserve">, </w:t>
      </w:r>
      <w:r>
        <w:rPr>
          <w:rFonts w:ascii="David" w:hAnsi="David" w:cs="David"/>
          <w:rtl w:val="true"/>
        </w:rPr>
        <w:t xml:space="preserve">שעסקה בתחולתו של הפטור בנסיבות של עסקת קומבינציה מסוג מכר חלקי </w:t>
      </w:r>
      <w:r>
        <w:rPr>
          <w:rFonts w:cs="David" w:ascii="David" w:hAnsi="David"/>
          <w:rtl w:val="true"/>
        </w:rPr>
        <w:t>(</w:t>
      </w:r>
      <w:r>
        <w:rPr>
          <w:rFonts w:ascii="David" w:hAnsi="David" w:cs="David"/>
          <w:rtl w:val="true"/>
        </w:rPr>
        <w:t>להלן</w:t>
      </w:r>
      <w:r>
        <w:rPr>
          <w:rFonts w:cs="David" w:ascii="David" w:hAnsi="David"/>
          <w:rtl w:val="true"/>
        </w:rPr>
        <w:t xml:space="preserve">: </w:t>
      </w:r>
      <w:r>
        <w:rPr>
          <w:rFonts w:ascii="Miriam" w:hAnsi="Miriam" w:cs="Miriam"/>
          <w:rtl w:val="true"/>
        </w:rPr>
        <w:t>עניין</w:t>
      </w:r>
      <w:r>
        <w:rPr>
          <w:rFonts w:ascii="David" w:hAnsi="David" w:cs="David"/>
          <w:rtl w:val="true"/>
        </w:rPr>
        <w:t xml:space="preserve"> </w:t>
      </w:r>
      <w:r>
        <w:rPr>
          <w:rFonts w:ascii="Miriam" w:hAnsi="Miriam" w:cs="Miriam"/>
          <w:rtl w:val="true"/>
        </w:rPr>
        <w:t>זילונקה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לעמדת ועדת ערר זו</w:t>
      </w:r>
      <w:r>
        <w:rPr>
          <w:rFonts w:cs="David" w:ascii="David" w:hAnsi="David"/>
          <w:rtl w:val="true"/>
        </w:rPr>
        <w:t xml:space="preserve">, </w:t>
      </w:r>
      <w:r>
        <w:rPr>
          <w:rFonts w:ascii="David" w:hAnsi="David" w:cs="David"/>
          <w:rtl w:val="true"/>
        </w:rPr>
        <w:t>הסיווג המשפטי שניתן לעסקה אינו מכריע</w:t>
      </w:r>
      <w:r>
        <w:rPr>
          <w:rFonts w:cs="David" w:ascii="David" w:hAnsi="David"/>
          <w:rtl w:val="true"/>
        </w:rPr>
        <w:t xml:space="preserve">, </w:t>
      </w:r>
      <w:r>
        <w:rPr>
          <w:rFonts w:ascii="David" w:hAnsi="David" w:cs="David"/>
          <w:rtl w:val="true"/>
        </w:rPr>
        <w:t>כשלעצמו</w:t>
      </w:r>
      <w:r>
        <w:rPr>
          <w:rFonts w:cs="David" w:ascii="David" w:hAnsi="David"/>
          <w:rtl w:val="true"/>
        </w:rPr>
        <w:t xml:space="preserve">, </w:t>
      </w:r>
      <w:r>
        <w:rPr>
          <w:rFonts w:ascii="David" w:hAnsi="David" w:cs="David"/>
          <w:rtl w:val="true"/>
        </w:rPr>
        <w:t>בשאלת תחולתו של סעיף הפטור</w:t>
      </w:r>
      <w:r>
        <w:rPr>
          <w:rFonts w:cs="David" w:ascii="David" w:hAnsi="David"/>
          <w:rtl w:val="true"/>
        </w:rPr>
        <w:t xml:space="preserve">. </w:t>
      </w:r>
      <w:r>
        <w:rPr>
          <w:rFonts w:ascii="David" w:hAnsi="David" w:cs="David"/>
          <w:rtl w:val="true"/>
        </w:rPr>
        <w:t>מקום שבו העברת הזכויות</w:t>
      </w:r>
      <w:r>
        <w:rPr>
          <w:rFonts w:cs="David" w:ascii="David" w:hAnsi="David"/>
          <w:rtl w:val="true"/>
        </w:rPr>
        <w:t xml:space="preserve">, </w:t>
      </w:r>
      <w:r>
        <w:rPr>
          <w:rFonts w:ascii="David" w:hAnsi="David" w:cs="David"/>
          <w:rtl w:val="true"/>
        </w:rPr>
        <w:t>מערך החיובים שבין הצדדים והבנייה העתידה שלובים זה בזה ומהווים חלקים של מהלך תכנוני וכלכלי אחד</w:t>
      </w:r>
      <w:r>
        <w:rPr>
          <w:rFonts w:cs="David" w:ascii="David" w:hAnsi="David"/>
          <w:rtl w:val="true"/>
        </w:rPr>
        <w:t xml:space="preserve">, </w:t>
      </w:r>
      <w:r>
        <w:rPr>
          <w:rFonts w:ascii="David" w:hAnsi="David" w:cs="David"/>
          <w:rtl w:val="true"/>
        </w:rPr>
        <w:t>אין הצדקה לבודד רכיב אחד מהמכלול ולבחון אותו במנותק מהקשרו</w:t>
      </w:r>
      <w:r>
        <w:rPr>
          <w:rFonts w:cs="David" w:ascii="David" w:hAnsi="David"/>
          <w:rtl w:val="true"/>
        </w:rPr>
        <w:t xml:space="preserve">. </w:t>
      </w:r>
      <w:r>
        <w:rPr>
          <w:rFonts w:ascii="David" w:hAnsi="David" w:cs="David"/>
          <w:rtl w:val="true"/>
        </w:rPr>
        <w:t>תחת זאת</w:t>
      </w:r>
      <w:r>
        <w:rPr>
          <w:rFonts w:cs="David" w:ascii="David" w:hAnsi="David"/>
          <w:rtl w:val="true"/>
        </w:rPr>
        <w:t xml:space="preserve">, </w:t>
      </w:r>
      <w:r>
        <w:rPr>
          <w:rFonts w:ascii="David" w:hAnsi="David" w:cs="David"/>
          <w:rtl w:val="true"/>
        </w:rPr>
        <w:t>יש להשקיף על המהלך בכללותו ולבחון את הזיקה המהותית שבין מימוש הזכויות לבין הקמת המרחבים המוגנים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 xml:space="preserve">אף שגישה זו נדחתה </w:t>
      </w:r>
      <w:r>
        <w:rPr>
          <w:rFonts w:ascii="Miriam" w:hAnsi="Miriam" w:cs="Miriam"/>
          <w:rtl w:val="true"/>
        </w:rPr>
        <w:t>בעניין זילונקה</w:t>
      </w:r>
      <w:r>
        <w:rPr>
          <w:rFonts w:ascii="David" w:hAnsi="David" w:cs="David"/>
          <w:rtl w:val="true"/>
        </w:rPr>
        <w:t xml:space="preserve"> בכל הנוגע לעסקאות קומבינציה מסוג מכר חלקי</w:t>
      </w:r>
      <w:r>
        <w:rPr>
          <w:rFonts w:cs="David" w:ascii="David" w:hAnsi="David"/>
          <w:rtl w:val="true"/>
        </w:rPr>
        <w:t xml:space="preserve">, </w:t>
      </w:r>
      <w:r>
        <w:rPr>
          <w:rFonts w:ascii="David" w:hAnsi="David" w:cs="David"/>
          <w:rtl w:val="true"/>
        </w:rPr>
        <w:t>איננו סבורים כי ניתן להקיש מן האמור בפסק הדין גם על מיזמים תכנוניים מורכבים יותר</w:t>
      </w:r>
      <w:r>
        <w:rPr>
          <w:rFonts w:cs="David" w:ascii="David" w:hAnsi="David"/>
          <w:rtl w:val="true"/>
        </w:rPr>
        <w:t xml:space="preserve">, </w:t>
      </w:r>
      <w:r>
        <w:rPr>
          <w:rFonts w:ascii="David" w:hAnsi="David" w:cs="David"/>
          <w:rtl w:val="true"/>
        </w:rPr>
        <w:t>כגון מיזמי התחדשות עירונית מסוג פינוי ובינוי</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לגישתנו</w:t>
      </w:r>
      <w:r>
        <w:rPr>
          <w:rFonts w:cs="David" w:ascii="David" w:hAnsi="David"/>
          <w:rtl w:val="true"/>
        </w:rPr>
        <w:t xml:space="preserve">, </w:t>
      </w:r>
      <w:r>
        <w:rPr>
          <w:rFonts w:ascii="David" w:hAnsi="David" w:cs="David"/>
          <w:rtl w:val="true"/>
        </w:rPr>
        <w:t>מיזם פינוי ובינוי אינו בא לעולם באבחה אחת</w:t>
      </w:r>
      <w:r>
        <w:rPr>
          <w:rFonts w:cs="David" w:ascii="David" w:hAnsi="David"/>
          <w:rtl w:val="true"/>
        </w:rPr>
        <w:t xml:space="preserve">. </w:t>
      </w:r>
      <w:r>
        <w:rPr>
          <w:rFonts w:ascii="David" w:hAnsi="David" w:cs="David"/>
          <w:rtl w:val="true"/>
        </w:rPr>
        <w:t>הוא נרקם</w:t>
      </w:r>
      <w:r>
        <w:rPr>
          <w:rFonts w:cs="David" w:ascii="David" w:hAnsi="David"/>
          <w:rtl w:val="true"/>
        </w:rPr>
        <w:t xml:space="preserve">, </w:t>
      </w:r>
      <w:r>
        <w:rPr>
          <w:rFonts w:ascii="David" w:hAnsi="David" w:cs="David"/>
          <w:rtl w:val="true"/>
        </w:rPr>
        <w:t>נדבך על גבי נדבך</w:t>
      </w:r>
      <w:r>
        <w:rPr>
          <w:rFonts w:cs="David" w:ascii="David" w:hAnsi="David"/>
          <w:rtl w:val="true"/>
        </w:rPr>
        <w:t xml:space="preserve">, </w:t>
      </w:r>
      <w:r>
        <w:rPr>
          <w:rFonts w:ascii="David" w:hAnsi="David" w:cs="David"/>
          <w:rtl w:val="true"/>
        </w:rPr>
        <w:t>החל במארג ההתקשרויות החוזיות</w:t>
      </w:r>
      <w:r>
        <w:rPr>
          <w:rFonts w:cs="David" w:ascii="David" w:hAnsi="David"/>
          <w:rtl w:val="true"/>
        </w:rPr>
        <w:t xml:space="preserve">, </w:t>
      </w:r>
      <w:r>
        <w:rPr>
          <w:rFonts w:ascii="David" w:hAnsi="David" w:cs="David"/>
          <w:rtl w:val="true"/>
        </w:rPr>
        <w:t>עבור בהליכי התכנון והרישוי</w:t>
      </w:r>
      <w:r>
        <w:rPr>
          <w:rFonts w:cs="David" w:ascii="David" w:hAnsi="David"/>
          <w:rtl w:val="true"/>
        </w:rPr>
        <w:t xml:space="preserve">, </w:t>
      </w:r>
      <w:r>
        <w:rPr>
          <w:rFonts w:ascii="David" w:hAnsi="David" w:cs="David"/>
          <w:rtl w:val="true"/>
        </w:rPr>
        <w:t>וכלה בהריסת הקיים ובהקמת החדש</w:t>
      </w:r>
      <w:r>
        <w:rPr>
          <w:rFonts w:cs="David" w:ascii="David" w:hAnsi="David"/>
          <w:rtl w:val="true"/>
        </w:rPr>
        <w:t xml:space="preserve">. </w:t>
      </w:r>
      <w:r>
        <w:rPr>
          <w:rFonts w:ascii="David" w:hAnsi="David" w:cs="David"/>
          <w:rtl w:val="true"/>
        </w:rPr>
        <w:t>כל חוליה בשרשרת נשענת על קודמתה ומוליכה אל הבאה אחריה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על רקע זה</w:t>
      </w:r>
      <w:r>
        <w:rPr>
          <w:rFonts w:cs="David" w:ascii="David" w:hAnsi="David"/>
          <w:rtl w:val="true"/>
        </w:rPr>
        <w:t xml:space="preserve">, </w:t>
      </w:r>
      <w:r>
        <w:rPr>
          <w:rFonts w:ascii="David" w:hAnsi="David" w:cs="David"/>
          <w:rtl w:val="true"/>
        </w:rPr>
        <w:t xml:space="preserve">הסכמי המכר אשר נערכים לצורך ביצועו של מיזם מסוג פינוי ובינוי אינם אלא חוליה אחת בשרשרת מהלכים חוזיים ותכנוניים שנועדו להוליך לתוצאה אחת – </w:t>
      </w:r>
      <w:r>
        <w:rPr>
          <w:rFonts w:ascii="Miriam" w:hAnsi="Miriam" w:cs="Miriam"/>
          <w:rtl w:val="true"/>
        </w:rPr>
        <w:t>בנייה בפועל</w:t>
      </w:r>
      <w:r>
        <w:rPr>
          <w:rFonts w:cs="David" w:ascii="David" w:hAnsi="David"/>
          <w:rtl w:val="true"/>
        </w:rPr>
        <w:t xml:space="preserve">. </w:t>
      </w:r>
      <w:r>
        <w:rPr>
          <w:rFonts w:ascii="David" w:hAnsi="David" w:cs="David"/>
          <w:rtl w:val="true"/>
        </w:rPr>
        <w:t>במובן זה</w:t>
      </w:r>
      <w:r>
        <w:rPr>
          <w:rFonts w:cs="David" w:ascii="David" w:hAnsi="David"/>
          <w:rtl w:val="true"/>
        </w:rPr>
        <w:t xml:space="preserve">, </w:t>
      </w:r>
      <w:r>
        <w:rPr>
          <w:rFonts w:ascii="David" w:hAnsi="David" w:cs="David"/>
          <w:rtl w:val="true"/>
        </w:rPr>
        <w:t>העברת הזכויות אינה התכלית אלא האמצעי</w:t>
      </w:r>
      <w:r>
        <w:rPr>
          <w:rFonts w:cs="David" w:ascii="David" w:hAnsi="David"/>
          <w:rtl w:val="true"/>
        </w:rPr>
        <w:t xml:space="preserve">, </w:t>
      </w:r>
      <w:r>
        <w:rPr>
          <w:rFonts w:ascii="David" w:hAnsi="David" w:cs="David"/>
          <w:rtl w:val="true"/>
        </w:rPr>
        <w:t>והבנייה היא התכלית שאליה מכוון המיזם כולו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מכאן הקושי בניסיון לבודד את הסכם המכר</w:t>
      </w:r>
      <w:r>
        <w:rPr>
          <w:rFonts w:cs="David" w:ascii="David" w:hAnsi="David"/>
          <w:rtl w:val="true"/>
        </w:rPr>
        <w:t xml:space="preserve">, </w:t>
      </w:r>
      <w:r>
        <w:rPr>
          <w:rFonts w:ascii="David" w:hAnsi="David" w:cs="David"/>
          <w:rtl w:val="true"/>
        </w:rPr>
        <w:t>להוציאו מהקשרו ולבחון אותו כאילו היה אירוע העומד בפני עצמו</w:t>
      </w:r>
      <w:r>
        <w:rPr>
          <w:rFonts w:cs="David" w:ascii="David" w:hAnsi="David"/>
          <w:rtl w:val="true"/>
        </w:rPr>
        <w:t xml:space="preserve">. </w:t>
      </w:r>
      <w:r>
        <w:rPr>
          <w:rFonts w:ascii="David" w:hAnsi="David" w:cs="David"/>
          <w:rtl w:val="true"/>
        </w:rPr>
        <w:t>מהלך כזה משול לנטילת חוליה אחת מן השרשרת ובחינתה במנותק מן החוליות שלפניה ושלאחריה</w:t>
      </w:r>
      <w:r>
        <w:rPr>
          <w:rFonts w:cs="David" w:ascii="David" w:hAnsi="David"/>
          <w:rtl w:val="true"/>
        </w:rPr>
        <w:t xml:space="preserve">. </w:t>
      </w:r>
      <w:r>
        <w:rPr>
          <w:rFonts w:ascii="David" w:hAnsi="David" w:cs="David"/>
          <w:rtl w:val="true"/>
        </w:rPr>
        <w:t>התוצאה עלולה להיות תמונה משפטית מדויקת בפרטיה אך שגויה במכלולה – תמונה המחמיצה הן את מהותה הכלכלית והמשפטית של העסקה</w:t>
      </w:r>
      <w:r>
        <w:rPr>
          <w:rFonts w:cs="David" w:ascii="David" w:hAnsi="David"/>
          <w:rtl w:val="true"/>
        </w:rPr>
        <w:t xml:space="preserve">, </w:t>
      </w:r>
      <w:r>
        <w:rPr>
          <w:rFonts w:ascii="David" w:hAnsi="David" w:cs="David"/>
          <w:rtl w:val="true"/>
        </w:rPr>
        <w:t>והן את התכלית שלשמה נקבע הפטור</w:t>
      </w:r>
      <w:r>
        <w:rPr>
          <w:rFonts w:cs="David" w:ascii="David" w:hAnsi="David"/>
          <w:rtl w:val="true"/>
        </w:rPr>
        <w:t>.</w:t>
      </w:r>
    </w:p>
    <w:p>
      <w:pPr>
        <w:pStyle w:val="Ruller43"/>
        <w:spacing w:before="240" w:after="240"/>
        <w:ind w:start="510" w:end="0"/>
        <w:jc w:val="both"/>
        <w:rPr>
          <w:rFonts w:ascii="David" w:hAnsi="David" w:cs="David"/>
        </w:rPr>
      </w:pPr>
      <w:r>
        <w:rPr>
          <w:rFonts w:cs="David" w:ascii="David" w:hAnsi="David"/>
          <w:rtl w:val="true"/>
        </w:rPr>
        <w:t>(</w:t>
      </w:r>
      <w:r>
        <w:rPr>
          <w:rFonts w:ascii="David" w:hAnsi="David" w:cs="David"/>
          <w:rtl w:val="true"/>
        </w:rPr>
        <w:t>לעמדה דומה ראו</w:t>
      </w:r>
      <w:r>
        <w:rPr>
          <w:rFonts w:cs="David" w:ascii="David" w:hAnsi="David"/>
          <w:rtl w:val="true"/>
        </w:rPr>
        <w:t xml:space="preserve">: </w:t>
      </w:r>
      <w:r>
        <w:rPr>
          <w:rFonts w:ascii="David" w:hAnsi="David" w:cs="David"/>
          <w:rtl w:val="true"/>
        </w:rPr>
        <w:t xml:space="preserve">ערר </w:t>
      </w:r>
      <w:r>
        <w:rPr>
          <w:rFonts w:cs="David" w:ascii="David" w:hAnsi="David"/>
          <w:rtl w:val="true"/>
        </w:rPr>
        <w:t>(</w:t>
      </w:r>
      <w:r>
        <w:rPr>
          <w:rFonts w:ascii="David" w:hAnsi="David" w:cs="David"/>
          <w:rtl w:val="true"/>
        </w:rPr>
        <w:t xml:space="preserve">ועדות ערר </w:t>
      </w:r>
      <w:r>
        <w:rPr>
          <w:rFonts w:cs="David" w:ascii="David" w:hAnsi="David"/>
          <w:rtl w:val="true"/>
        </w:rPr>
        <w:t xml:space="preserve">- </w:t>
      </w:r>
      <w:r>
        <w:rPr>
          <w:rFonts w:ascii="David" w:hAnsi="David" w:cs="David"/>
          <w:rtl w:val="true"/>
        </w:rPr>
        <w:t>תכנון ובנייה מרכז</w:t>
      </w:r>
      <w:r>
        <w:rPr>
          <w:rFonts w:cs="David" w:ascii="David" w:hAnsi="David"/>
          <w:rtl w:val="true"/>
        </w:rPr>
        <w:t xml:space="preserve">) </w:t>
      </w:r>
      <w:r>
        <w:rPr>
          <w:rFonts w:cs="David" w:ascii="David" w:hAnsi="David"/>
        </w:rPr>
        <w:t>8045-05-26</w:t>
      </w:r>
      <w:r>
        <w:rPr>
          <w:rFonts w:cs="David" w:ascii="David" w:hAnsi="David"/>
          <w:rtl w:val="true"/>
        </w:rPr>
        <w:t xml:space="preserve"> </w:t>
      </w:r>
      <w:r>
        <w:rPr>
          <w:rFonts w:ascii="Miriam" w:hAnsi="Miriam" w:cs="Miriam"/>
          <w:rtl w:val="true"/>
        </w:rPr>
        <w:t>הוועדה המקומית לתכנון ולבנייה יהוד</w:t>
      </w:r>
      <w:r>
        <w:rPr>
          <w:rFonts w:cs="Miriam" w:ascii="Miriam" w:hAnsi="Miriam"/>
          <w:rtl w:val="true"/>
        </w:rPr>
        <w:t>-</w:t>
      </w:r>
      <w:r>
        <w:rPr>
          <w:rFonts w:ascii="Miriam" w:hAnsi="Miriam" w:cs="Miriam"/>
          <w:rtl w:val="true"/>
        </w:rPr>
        <w:t>מונוסון נ</w:t>
      </w:r>
      <w:r>
        <w:rPr>
          <w:rFonts w:cs="Miriam" w:ascii="Miriam" w:hAnsi="Miriam"/>
          <w:rtl w:val="true"/>
        </w:rPr>
        <w:t xml:space="preserve">' </w:t>
      </w:r>
      <w:r>
        <w:rPr>
          <w:rFonts w:ascii="Miriam" w:hAnsi="Miriam" w:cs="Miriam"/>
          <w:rtl w:val="true"/>
        </w:rPr>
        <w:t>א</w:t>
      </w:r>
      <w:r>
        <w:rPr>
          <w:rFonts w:cs="Miriam" w:ascii="Miriam" w:hAnsi="Miriam"/>
          <w:rtl w:val="true"/>
        </w:rPr>
        <w:t>.</w:t>
      </w:r>
      <w:r>
        <w:rPr>
          <w:rFonts w:ascii="Miriam" w:hAnsi="Miriam" w:cs="Miriam"/>
          <w:rtl w:val="true"/>
        </w:rPr>
        <w:t>ג</w:t>
      </w:r>
      <w:r>
        <w:rPr>
          <w:rFonts w:cs="Miriam" w:ascii="Miriam" w:hAnsi="Miriam"/>
          <w:rtl w:val="true"/>
        </w:rPr>
        <w:t xml:space="preserve">. </w:t>
      </w:r>
      <w:r>
        <w:rPr>
          <w:rFonts w:ascii="Miriam" w:hAnsi="Miriam" w:cs="Miriam"/>
          <w:rtl w:val="true"/>
        </w:rPr>
        <w:t xml:space="preserve">אופק החזקות </w:t>
      </w:r>
      <w:r>
        <w:rPr>
          <w:rFonts w:cs="Miriam" w:ascii="Miriam" w:hAnsi="Miriam"/>
          <w:rtl w:val="true"/>
        </w:rPr>
        <w:t xml:space="preserve">- </w:t>
      </w:r>
      <w:r>
        <w:rPr>
          <w:rFonts w:ascii="Miriam" w:hAnsi="Miriam" w:cs="Miriam"/>
          <w:rtl w:val="true"/>
        </w:rPr>
        <w:t>התחדשות עירונית בע״מ</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22.9.2026</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ואולם</w:t>
      </w:r>
      <w:r>
        <w:rPr>
          <w:rFonts w:cs="David" w:ascii="David" w:hAnsi="David"/>
          <w:rtl w:val="true"/>
        </w:rPr>
        <w:t xml:space="preserve">, </w:t>
      </w:r>
      <w:r>
        <w:rPr>
          <w:rFonts w:ascii="David" w:hAnsi="David" w:cs="David"/>
          <w:rtl w:val="true"/>
        </w:rPr>
        <w:t>גישה שונה הוצגה בפסק הדין שניתן ב</w:t>
      </w:r>
      <w:hyperlink r:id="rId19">
        <w:r>
          <w:rPr>
            <w:rStyle w:val="Hyperlink"/>
            <w:rFonts w:ascii="David" w:hAnsi="David" w:cs="David"/>
            <w:color w:val="0000FF"/>
            <w:u w:val="single"/>
            <w:rtl w:val="true"/>
          </w:rPr>
          <w:t>עמ</w:t>
        </w:r>
        <w:r>
          <w:rPr>
            <w:rStyle w:val="Hyperlink"/>
            <w:rFonts w:cs="David" w:ascii="David" w:hAnsi="David"/>
            <w:color w:val="0000FF"/>
            <w:u w:val="single"/>
            <w:rtl w:val="true"/>
          </w:rPr>
          <w:t>"</w:t>
        </w:r>
        <w:r>
          <w:rPr>
            <w:rStyle w:val="Hyperlink"/>
            <w:rFonts w:ascii="David" w:hAnsi="David" w:cs="David"/>
            <w:color w:val="0000FF"/>
            <w:u w:val="single"/>
            <w:rtl w:val="true"/>
          </w:rPr>
          <w:t xml:space="preserve">נ </w:t>
        </w:r>
        <w:r>
          <w:rPr>
            <w:rStyle w:val="Hyperlink"/>
            <w:rFonts w:cs="David" w:ascii="David" w:hAnsi="David"/>
            <w:color w:val="0000FF"/>
            <w:u w:val="single"/>
            <w:rtl w:val="true"/>
          </w:rPr>
          <w:t>(</w:t>
        </w:r>
        <w:r>
          <w:rPr>
            <w:rStyle w:val="Hyperlink"/>
            <w:rFonts w:ascii="David" w:hAnsi="David" w:cs="David"/>
            <w:color w:val="0000FF"/>
            <w:u w:val="single"/>
            <w:rtl w:val="true"/>
          </w:rPr>
          <w:t>מינהליים ת</w:t>
        </w:r>
        <w:r>
          <w:rPr>
            <w:rStyle w:val="Hyperlink"/>
            <w:rFonts w:cs="David" w:ascii="David" w:hAnsi="David"/>
            <w:color w:val="0000FF"/>
            <w:u w:val="single"/>
            <w:rtl w:val="true"/>
          </w:rPr>
          <w:t>"</w:t>
        </w:r>
        <w:r>
          <w:rPr>
            <w:rStyle w:val="Hyperlink"/>
            <w:rFonts w:ascii="David" w:hAnsi="David" w:cs="David"/>
            <w:color w:val="0000FF"/>
            <w:u w:val="single"/>
            <w:rtl w:val="true"/>
          </w:rPr>
          <w:t>א</w:t>
        </w:r>
        <w:r>
          <w:rPr>
            <w:rStyle w:val="Hyperlink"/>
            <w:rFonts w:cs="David" w:ascii="David" w:hAnsi="David"/>
            <w:color w:val="0000FF"/>
            <w:u w:val="single"/>
            <w:rtl w:val="true"/>
          </w:rPr>
          <w:t xml:space="preserve">) </w:t>
        </w:r>
        <w:r>
          <w:rPr>
            <w:rStyle w:val="Hyperlink"/>
            <w:rFonts w:cs="David" w:ascii="David" w:hAnsi="David"/>
            <w:color w:val="0000FF"/>
            <w:u w:val="single"/>
          </w:rPr>
          <w:t>35758-09-25</w:t>
        </w:r>
      </w:hyperlink>
      <w:r>
        <w:rPr>
          <w:rFonts w:cs="David" w:ascii="David" w:hAnsi="David"/>
          <w:rtl w:val="true"/>
        </w:rPr>
        <w:t xml:space="preserve"> </w:t>
      </w:r>
      <w:r>
        <w:rPr>
          <w:rFonts w:ascii="Miriam" w:hAnsi="Miriam" w:cs="Miriam"/>
          <w:rtl w:val="true"/>
        </w:rPr>
        <w:t>הוועדה המקומית לתכנון ולבנייה בת ים נ</w:t>
      </w:r>
      <w:r>
        <w:rPr>
          <w:rFonts w:cs="Miriam" w:ascii="Miriam" w:hAnsi="Miriam"/>
          <w:rtl w:val="true"/>
        </w:rPr>
        <w:t xml:space="preserve">' </w:t>
      </w:r>
      <w:r>
        <w:rPr>
          <w:rFonts w:ascii="Miriam" w:hAnsi="Miriam" w:cs="Miriam"/>
          <w:rtl w:val="true"/>
        </w:rPr>
        <w:t>בקר ב</w:t>
      </w:r>
      <w:r>
        <w:rPr>
          <w:rFonts w:cs="Miriam" w:ascii="Miriam" w:hAnsi="Miriam"/>
          <w:rtl w:val="true"/>
        </w:rPr>
        <w:t>.</w:t>
      </w:r>
      <w:r>
        <w:rPr>
          <w:rFonts w:ascii="Miriam" w:hAnsi="Miriam" w:cs="Miriam"/>
          <w:rtl w:val="true"/>
        </w:rPr>
        <w:t>י</w:t>
      </w:r>
      <w:r>
        <w:rPr>
          <w:rFonts w:cs="Miriam" w:ascii="Miriam" w:hAnsi="Miriam"/>
          <w:rtl w:val="true"/>
        </w:rPr>
        <w:t xml:space="preserve">. </w:t>
      </w:r>
      <w:r>
        <w:rPr>
          <w:rFonts w:ascii="Miriam" w:hAnsi="Miriam" w:cs="Miriam"/>
          <w:rtl w:val="true"/>
        </w:rPr>
        <w:t>חברה לבניין בע</w:t>
      </w:r>
      <w:r>
        <w:rPr>
          <w:rFonts w:cs="Miriam" w:ascii="Miriam" w:hAnsi="Miriam"/>
          <w:rtl w:val="true"/>
        </w:rPr>
        <w:t>"</w:t>
      </w:r>
      <w:r>
        <w:rPr>
          <w:rFonts w:ascii="Miriam" w:hAnsi="Miriam" w:cs="Miriam"/>
          <w:rtl w:val="true"/>
        </w:rPr>
        <w:t>מ</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4.5.2026</w:t>
      </w:r>
      <w:r>
        <w:rPr>
          <w:rFonts w:cs="David" w:ascii="David" w:hAnsi="David"/>
          <w:rtl w:val="true"/>
        </w:rPr>
        <w:t>) (</w:t>
      </w:r>
      <w:r>
        <w:rPr>
          <w:rFonts w:ascii="David" w:hAnsi="David" w:cs="David"/>
          <w:rtl w:val="true"/>
        </w:rPr>
        <w:t>להלן</w:t>
      </w:r>
      <w:r>
        <w:rPr>
          <w:rFonts w:cs="David" w:ascii="David" w:hAnsi="David"/>
          <w:rtl w:val="true"/>
        </w:rPr>
        <w:t xml:space="preserve">: </w:t>
      </w:r>
      <w:r>
        <w:rPr>
          <w:rFonts w:ascii="Miriam" w:hAnsi="Miriam" w:cs="Miriam"/>
          <w:rtl w:val="true"/>
        </w:rPr>
        <w:t>עניין בקר</w:t>
      </w:r>
      <w:r>
        <w:rPr>
          <w:rFonts w:cs="David" w:ascii="David" w:hAnsi="David"/>
          <w:rtl w:val="true"/>
        </w:rPr>
        <w:t xml:space="preserve">). </w:t>
      </w:r>
      <w:r>
        <w:rPr>
          <w:rFonts w:ascii="David" w:hAnsi="David" w:cs="David"/>
          <w:rtl w:val="true"/>
        </w:rPr>
        <w:t>באותו עניין הבחין בית המשפט בין הסכמי פינוי ובינוי שנכרתו קודם לתחילת התוכנית לבין הסכמים שנכרתו לאחר תחילתה</w:t>
      </w:r>
      <w:r>
        <w:rPr>
          <w:rFonts w:cs="David" w:ascii="David" w:hAnsi="David"/>
          <w:rtl w:val="true"/>
        </w:rPr>
        <w:t xml:space="preserve">. </w:t>
      </w:r>
      <w:r>
        <w:rPr>
          <w:rFonts w:ascii="David" w:hAnsi="David" w:cs="David"/>
          <w:rtl w:val="true"/>
        </w:rPr>
        <w:t>ביחס לאחרונים נקבע כי כריתתם עולה כדי מימוש בדרך של מכר</w:t>
      </w:r>
      <w:r>
        <w:rPr>
          <w:rFonts w:cs="David" w:ascii="David" w:hAnsi="David"/>
          <w:rtl w:val="true"/>
        </w:rPr>
        <w:t xml:space="preserve">, </w:t>
      </w:r>
      <w:r>
        <w:rPr>
          <w:rFonts w:ascii="David" w:hAnsi="David" w:cs="David"/>
          <w:rtl w:val="true"/>
        </w:rPr>
        <w:t>ומשכך אינה מקימה זכאות לפטור</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לעניות דעתנו</w:t>
      </w:r>
      <w:r>
        <w:rPr>
          <w:rFonts w:cs="David" w:ascii="David" w:hAnsi="David"/>
          <w:rtl w:val="true"/>
        </w:rPr>
        <w:t xml:space="preserve">, </w:t>
      </w:r>
      <w:r>
        <w:rPr>
          <w:rFonts w:ascii="David" w:hAnsi="David" w:cs="David"/>
          <w:rtl w:val="true"/>
        </w:rPr>
        <w:t>תוצאה זו מעוררת קושי</w:t>
      </w:r>
      <w:r>
        <w:rPr>
          <w:rFonts w:cs="David" w:ascii="David" w:hAnsi="David"/>
          <w:rtl w:val="true"/>
        </w:rPr>
        <w:t xml:space="preserve">. </w:t>
      </w:r>
      <w:r>
        <w:rPr>
          <w:rFonts w:ascii="David" w:hAnsi="David" w:cs="David"/>
          <w:rtl w:val="true"/>
        </w:rPr>
        <w:t>לשיטתנו</w:t>
      </w:r>
      <w:r>
        <w:rPr>
          <w:rFonts w:cs="David" w:ascii="David" w:hAnsi="David"/>
          <w:rtl w:val="true"/>
        </w:rPr>
        <w:t xml:space="preserve">, </w:t>
      </w:r>
      <w:r>
        <w:rPr>
          <w:rFonts w:ascii="David" w:hAnsi="David" w:cs="David"/>
          <w:rtl w:val="true"/>
        </w:rPr>
        <w:t>יש להבחין בין שתי שאלות נפרדות</w:t>
      </w:r>
      <w:r>
        <w:rPr>
          <w:rFonts w:cs="David" w:ascii="David" w:hAnsi="David"/>
          <w:rtl w:val="true"/>
        </w:rPr>
        <w:t xml:space="preserve">: </w:t>
      </w:r>
      <w:r>
        <w:rPr>
          <w:rFonts w:ascii="David" w:hAnsi="David" w:cs="David"/>
          <w:rtl w:val="true"/>
        </w:rPr>
        <w:t>האחת</w:t>
      </w:r>
      <w:r>
        <w:rPr>
          <w:rFonts w:cs="David" w:ascii="David" w:hAnsi="David"/>
          <w:rtl w:val="true"/>
        </w:rPr>
        <w:t xml:space="preserve">, </w:t>
      </w:r>
      <w:r>
        <w:rPr>
          <w:rFonts w:ascii="David" w:hAnsi="David" w:cs="David"/>
          <w:rtl w:val="true"/>
        </w:rPr>
        <w:t>אם התרחש אירוע מימוש</w:t>
      </w:r>
      <w:r>
        <w:rPr>
          <w:rFonts w:cs="David" w:ascii="David" w:hAnsi="David"/>
          <w:rtl w:val="true"/>
        </w:rPr>
        <w:t xml:space="preserve">; </w:t>
      </w:r>
      <w:r>
        <w:rPr>
          <w:rFonts w:ascii="David" w:hAnsi="David" w:cs="David"/>
          <w:rtl w:val="true"/>
        </w:rPr>
        <w:t>והשנייה</w:t>
      </w:r>
      <w:r>
        <w:rPr>
          <w:rFonts w:cs="David" w:ascii="David" w:hAnsi="David"/>
          <w:rtl w:val="true"/>
        </w:rPr>
        <w:t xml:space="preserve">, </w:t>
      </w:r>
      <w:r>
        <w:rPr>
          <w:rFonts w:ascii="David" w:hAnsi="David" w:cs="David"/>
          <w:rtl w:val="true"/>
        </w:rPr>
        <w:t>אם ההשבחה שמומשה באותו אירוע היא מן ההשבחות שהמחוקק ביקש להוציא מגדר החיוב</w:t>
      </w:r>
      <w:r>
        <w:rPr>
          <w:rFonts w:cs="David" w:ascii="David" w:hAnsi="David"/>
          <w:rtl w:val="true"/>
        </w:rPr>
        <w:t xml:space="preserve">. </w:t>
      </w:r>
      <w:r>
        <w:rPr>
          <w:rFonts w:ascii="David" w:hAnsi="David" w:cs="David"/>
          <w:rtl w:val="true"/>
        </w:rPr>
        <w:t>מענה חיובי לשאלה הראשונה אינו מייתר את הדיון בשאלה השנייה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נקודת המוצא לבחינה זו מצויה בלשונו של סעיף הפטור</w:t>
      </w:r>
      <w:r>
        <w:rPr>
          <w:rFonts w:cs="David" w:ascii="David" w:hAnsi="David"/>
          <w:rtl w:val="true"/>
        </w:rPr>
        <w:t xml:space="preserve">, </w:t>
      </w:r>
      <w:r>
        <w:rPr>
          <w:rFonts w:ascii="David" w:hAnsi="David" w:cs="David"/>
          <w:rtl w:val="true"/>
        </w:rPr>
        <w:t xml:space="preserve">המתייחס להשבחה </w:t>
      </w:r>
      <w:r>
        <w:rPr>
          <w:rFonts w:cs="David" w:ascii="David" w:hAnsi="David"/>
          <w:rtl w:val="true"/>
        </w:rPr>
        <w:t>"</w:t>
      </w:r>
      <w:r>
        <w:rPr>
          <w:rFonts w:ascii="David" w:hAnsi="David" w:cs="David"/>
          <w:rtl w:val="true"/>
        </w:rPr>
        <w:t>בשל בניית מרחב מוגן</w:t>
      </w:r>
      <w:r>
        <w:rPr>
          <w:rFonts w:cs="David" w:ascii="David" w:hAnsi="David"/>
          <w:rtl w:val="true"/>
        </w:rPr>
        <w:t xml:space="preserve">". </w:t>
      </w:r>
      <w:r>
        <w:rPr>
          <w:rFonts w:ascii="David" w:hAnsi="David" w:cs="David"/>
          <w:rtl w:val="true"/>
        </w:rPr>
        <w:t>הדגש שהניח המחוקק הוא על הזיקה שבין ההשבחה לבין בניית המרחב המוגן</w:t>
      </w:r>
      <w:r>
        <w:rPr>
          <w:rFonts w:cs="David" w:ascii="David" w:hAnsi="David"/>
          <w:rtl w:val="true"/>
        </w:rPr>
        <w:t xml:space="preserve">, </w:t>
      </w:r>
      <w:r>
        <w:rPr>
          <w:rFonts w:ascii="David" w:hAnsi="David" w:cs="David"/>
          <w:rtl w:val="true"/>
        </w:rPr>
        <w:t>ולא בהכרח על זהות הגורם שמבצע את הבנייה בפועל</w:t>
      </w:r>
      <w:r>
        <w:rPr>
          <w:rFonts w:cs="David" w:ascii="David" w:hAnsi="David"/>
          <w:rtl w:val="true"/>
        </w:rPr>
        <w:t xml:space="preserve">. </w:t>
      </w:r>
      <w:r>
        <w:rPr>
          <w:rFonts w:ascii="David" w:hAnsi="David" w:cs="David"/>
          <w:rtl w:val="true"/>
        </w:rPr>
        <w:t xml:space="preserve">מסקנה זו מתיישבת אף עם תכליתו הסובייקטיבית והאובייקטיבית של הפטור </w:t>
      </w:r>
      <w:r>
        <w:rPr>
          <w:rFonts w:cs="David" w:ascii="David" w:hAnsi="David"/>
          <w:rtl w:val="true"/>
        </w:rPr>
        <w:t>(</w:t>
      </w:r>
      <w:r>
        <w:rPr>
          <w:rFonts w:ascii="David" w:hAnsi="David" w:cs="David"/>
          <w:rtl w:val="true"/>
        </w:rPr>
        <w:t>ראו</w:t>
      </w:r>
      <w:r>
        <w:rPr>
          <w:rFonts w:cs="David" w:ascii="David" w:hAnsi="David"/>
          <w:rtl w:val="true"/>
        </w:rPr>
        <w:t xml:space="preserve">: </w:t>
      </w:r>
      <w:r>
        <w:rPr>
          <w:rFonts w:ascii="Miriam" w:hAnsi="Miriam" w:cs="Miriam"/>
          <w:rtl w:val="true"/>
        </w:rPr>
        <w:t>עניין פרטיאלי</w:t>
      </w:r>
      <w:r>
        <w:rPr>
          <w:rFonts w:cs="David" w:ascii="David" w:hAnsi="David"/>
          <w:rtl w:val="true"/>
        </w:rPr>
        <w:t xml:space="preserve">, </w:t>
      </w:r>
      <w:r>
        <w:rPr>
          <w:rFonts w:ascii="David" w:hAnsi="David" w:cs="David"/>
          <w:rtl w:val="true"/>
        </w:rPr>
        <w:t xml:space="preserve">בפסקה </w:t>
      </w:r>
      <w:r>
        <w:rPr>
          <w:rFonts w:cs="David" w:ascii="David" w:hAnsi="David"/>
        </w:rPr>
        <w:t>60</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על רקע זה</w:t>
      </w:r>
      <w:r>
        <w:rPr>
          <w:rFonts w:cs="David" w:ascii="David" w:hAnsi="David"/>
          <w:rtl w:val="true"/>
        </w:rPr>
        <w:t xml:space="preserve">, </w:t>
      </w:r>
      <w:r>
        <w:rPr>
          <w:rFonts w:ascii="David" w:hAnsi="David" w:cs="David"/>
          <w:rtl w:val="true"/>
        </w:rPr>
        <w:t>איננו סבורים כי עצם הסתייעותו של בעל הזכויות ביזם מנתקת</w:t>
      </w:r>
      <w:r>
        <w:rPr>
          <w:rFonts w:cs="David" w:ascii="David" w:hAnsi="David"/>
          <w:rtl w:val="true"/>
        </w:rPr>
        <w:t xml:space="preserve">, </w:t>
      </w:r>
      <w:r>
        <w:rPr>
          <w:rFonts w:ascii="David" w:hAnsi="David" w:cs="David"/>
          <w:rtl w:val="true"/>
        </w:rPr>
        <w:t>מניה וביה</w:t>
      </w:r>
      <w:r>
        <w:rPr>
          <w:rFonts w:cs="David" w:ascii="David" w:hAnsi="David"/>
          <w:rtl w:val="true"/>
        </w:rPr>
        <w:t xml:space="preserve">, </w:t>
      </w:r>
      <w:r>
        <w:rPr>
          <w:rFonts w:ascii="David" w:hAnsi="David" w:cs="David"/>
          <w:rtl w:val="true"/>
        </w:rPr>
        <w:t>את הזיקה הנדרשת לבניית המרחב המוגן</w:t>
      </w:r>
      <w:r>
        <w:rPr>
          <w:rFonts w:cs="David" w:ascii="David" w:hAnsi="David"/>
          <w:rtl w:val="true"/>
        </w:rPr>
        <w:t xml:space="preserve">. </w:t>
      </w:r>
      <w:r>
        <w:rPr>
          <w:rFonts w:ascii="David" w:hAnsi="David" w:cs="David"/>
          <w:rtl w:val="true"/>
        </w:rPr>
        <w:t>זיקה זו עשויה להתקיים גם מקום שבו הבנייה מבוצעת באמצעות יזם</w:t>
      </w:r>
      <w:r>
        <w:rPr>
          <w:rFonts w:cs="David" w:ascii="David" w:hAnsi="David"/>
          <w:rtl w:val="true"/>
        </w:rPr>
        <w:t xml:space="preserve">, </w:t>
      </w:r>
      <w:r>
        <w:rPr>
          <w:rFonts w:ascii="David" w:hAnsi="David" w:cs="David"/>
          <w:rtl w:val="true"/>
        </w:rPr>
        <w:t>כחלק ממערך חוזי אחד</w:t>
      </w:r>
      <w:r>
        <w:rPr>
          <w:rFonts w:cs="David" w:ascii="David" w:hAnsi="David"/>
          <w:rtl w:val="true"/>
        </w:rPr>
        <w:t xml:space="preserve">, </w:t>
      </w:r>
      <w:r>
        <w:rPr>
          <w:rFonts w:ascii="David" w:hAnsi="David" w:cs="David"/>
          <w:rtl w:val="true"/>
        </w:rPr>
        <w:t>שבגדרו העברת הזכויות מזה והתחייבות היזם לבנייה מזה הן התחייבויות שלובות</w:t>
      </w:r>
      <w:r>
        <w:rPr>
          <w:rFonts w:cs="David" w:ascii="David" w:hAnsi="David"/>
          <w:rtl w:val="true"/>
        </w:rPr>
        <w:t xml:space="preserve">. </w:t>
      </w:r>
      <w:r>
        <w:rPr>
          <w:rFonts w:ascii="David" w:hAnsi="David" w:cs="David"/>
          <w:rtl w:val="true"/>
        </w:rPr>
        <w:t>בנסיבות אלה</w:t>
      </w:r>
      <w:r>
        <w:rPr>
          <w:rFonts w:cs="David" w:ascii="David" w:hAnsi="David"/>
          <w:rtl w:val="true"/>
        </w:rPr>
        <w:t xml:space="preserve">, </w:t>
      </w:r>
      <w:r>
        <w:rPr>
          <w:rFonts w:ascii="David" w:hAnsi="David" w:cs="David"/>
          <w:rtl w:val="true"/>
        </w:rPr>
        <w:t>יש לבחון את מהותה של ההשבחה ואת מקורה</w:t>
      </w:r>
      <w:r>
        <w:rPr>
          <w:rFonts w:cs="David" w:ascii="David" w:hAnsi="David"/>
          <w:rtl w:val="true"/>
        </w:rPr>
        <w:t xml:space="preserve">, </w:t>
      </w:r>
      <w:r>
        <w:rPr>
          <w:rFonts w:ascii="David" w:hAnsi="David" w:cs="David"/>
          <w:rtl w:val="true"/>
        </w:rPr>
        <w:t>ולא להסתפק בסיווגו הפורמלי של אירוע המימוש כמכר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וזהו</w:t>
      </w:r>
      <w:r>
        <w:rPr>
          <w:rFonts w:cs="David" w:ascii="David" w:hAnsi="David"/>
          <w:rtl w:val="true"/>
        </w:rPr>
        <w:t xml:space="preserve">, </w:t>
      </w:r>
      <w:r>
        <w:rPr>
          <w:rFonts w:ascii="David" w:hAnsi="David" w:cs="David"/>
          <w:rtl w:val="true"/>
        </w:rPr>
        <w:t>לטעמנו</w:t>
      </w:r>
      <w:r>
        <w:rPr>
          <w:rFonts w:cs="David" w:ascii="David" w:hAnsi="David"/>
          <w:rtl w:val="true"/>
        </w:rPr>
        <w:t xml:space="preserve">, </w:t>
      </w:r>
      <w:r>
        <w:rPr>
          <w:rFonts w:ascii="David" w:hAnsi="David" w:cs="David"/>
          <w:rtl w:val="true"/>
        </w:rPr>
        <w:t>מוקד הבחינה</w:t>
      </w:r>
      <w:r>
        <w:rPr>
          <w:rFonts w:cs="David" w:ascii="David" w:hAnsi="David"/>
          <w:rtl w:val="true"/>
        </w:rPr>
        <w:t xml:space="preserve">. </w:t>
      </w:r>
      <w:r>
        <w:rPr>
          <w:rFonts w:ascii="David" w:hAnsi="David" w:cs="David"/>
          <w:rtl w:val="true"/>
        </w:rPr>
        <w:t>לא שמה של העסקה</w:t>
      </w:r>
      <w:r>
        <w:rPr>
          <w:rFonts w:cs="David" w:ascii="David" w:hAnsi="David"/>
          <w:rtl w:val="true"/>
        </w:rPr>
        <w:t xml:space="preserve">, </w:t>
      </w:r>
      <w:r>
        <w:rPr>
          <w:rFonts w:ascii="David" w:hAnsi="David" w:cs="David"/>
          <w:rtl w:val="true"/>
        </w:rPr>
        <w:t>כשלעצמו</w:t>
      </w:r>
      <w:r>
        <w:rPr>
          <w:rFonts w:cs="David" w:ascii="David" w:hAnsi="David"/>
          <w:rtl w:val="true"/>
        </w:rPr>
        <w:t xml:space="preserve">, </w:t>
      </w:r>
      <w:r>
        <w:rPr>
          <w:rFonts w:ascii="David" w:hAnsi="David" w:cs="David"/>
          <w:rtl w:val="true"/>
        </w:rPr>
        <w:t>ואף לא הצהרה בדבר כוונה לבנייה עתידית</w:t>
      </w:r>
      <w:r>
        <w:rPr>
          <w:rFonts w:cs="David" w:ascii="David" w:hAnsi="David"/>
          <w:rtl w:val="true"/>
        </w:rPr>
        <w:t xml:space="preserve">, </w:t>
      </w:r>
      <w:r>
        <w:rPr>
          <w:rFonts w:ascii="David" w:hAnsi="David" w:cs="David"/>
          <w:rtl w:val="true"/>
        </w:rPr>
        <w:t>הם שמכריעים</w:t>
      </w:r>
      <w:r>
        <w:rPr>
          <w:rFonts w:cs="David" w:ascii="David" w:hAnsi="David"/>
          <w:rtl w:val="true"/>
        </w:rPr>
        <w:t xml:space="preserve">. </w:t>
      </w:r>
      <w:r>
        <w:rPr>
          <w:rFonts w:ascii="David" w:hAnsi="David" w:cs="David"/>
          <w:rtl w:val="true"/>
        </w:rPr>
        <w:t>יש לבחון את המציאות המשפטית והתכנונית שהתגבשה בפועל</w:t>
      </w:r>
      <w:r>
        <w:rPr>
          <w:rFonts w:cs="David" w:ascii="David" w:hAnsi="David"/>
          <w:rtl w:val="true"/>
        </w:rPr>
        <w:t xml:space="preserve">, </w:t>
      </w:r>
      <w:r>
        <w:rPr>
          <w:rFonts w:ascii="David" w:hAnsi="David" w:cs="David"/>
          <w:rtl w:val="true"/>
        </w:rPr>
        <w:t>ואת אשר היא מלמדת על עוצמת הזיקה שבין העברת הזכויות לבין הבנייה שלשמה הוענק הפטור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הדברים מתיישבים גם עם ההסדר הקבוע ב</w:t>
      </w:r>
      <w:hyperlink r:id="rId20">
        <w:r>
          <w:rPr>
            <w:rStyle w:val="Hyperlink"/>
            <w:rFonts w:ascii="David" w:hAnsi="David" w:cs="David"/>
            <w:rtl w:val="true"/>
          </w:rPr>
          <w:t xml:space="preserve">סעיף </w:t>
        </w:r>
        <w:r>
          <w:rPr>
            <w:rStyle w:val="Hyperlink"/>
            <w:rFonts w:cs="David" w:ascii="David" w:hAnsi="David"/>
          </w:rPr>
          <w:t>49</w:t>
        </w:r>
        <w:r>
          <w:rPr>
            <w:rStyle w:val="Hyperlink"/>
            <w:rFonts w:ascii="David" w:hAnsi="David" w:cs="David"/>
            <w:rtl w:val="true"/>
          </w:rPr>
          <w:t>כ</w:t>
        </w:r>
      </w:hyperlink>
      <w:r>
        <w:rPr>
          <w:rFonts w:ascii="David" w:hAnsi="David" w:cs="David"/>
          <w:rtl w:val="true"/>
        </w:rPr>
        <w:t xml:space="preserve"> ל</w:t>
      </w:r>
      <w:hyperlink r:id="rId21">
        <w:r>
          <w:rPr>
            <w:rStyle w:val="Hyperlink"/>
            <w:rFonts w:ascii="David" w:hAnsi="David" w:cs="David"/>
            <w:color w:val="0000FF"/>
            <w:u w:val="single"/>
            <w:rtl w:val="true"/>
          </w:rPr>
          <w:t xml:space="preserve">חוק מיסוי מקרקעין </w:t>
        </w:r>
        <w:r>
          <w:rPr>
            <w:rStyle w:val="Hyperlink"/>
            <w:rFonts w:cs="David" w:ascii="David" w:hAnsi="David"/>
            <w:color w:val="0000FF"/>
            <w:u w:val="single"/>
            <w:rtl w:val="true"/>
          </w:rPr>
          <w:t>(</w:t>
        </w:r>
        <w:r>
          <w:rPr>
            <w:rStyle w:val="Hyperlink"/>
            <w:rFonts w:ascii="David" w:hAnsi="David" w:cs="David"/>
            <w:color w:val="0000FF"/>
            <w:u w:val="single"/>
            <w:rtl w:val="true"/>
          </w:rPr>
          <w:t>שבח ורכישה</w:t>
        </w:r>
        <w:r>
          <w:rPr>
            <w:rStyle w:val="Hyperlink"/>
            <w:rFonts w:cs="David" w:ascii="David" w:hAnsi="David"/>
            <w:color w:val="0000FF"/>
            <w:u w:val="single"/>
            <w:rtl w:val="true"/>
          </w:rPr>
          <w:t>)</w:t>
        </w:r>
      </w:hyperlink>
      <w:r>
        <w:rPr>
          <w:rFonts w:cs="David" w:ascii="David" w:hAnsi="David"/>
          <w:rtl w:val="true"/>
        </w:rPr>
        <w:t xml:space="preserve">, </w:t>
      </w:r>
      <w:r>
        <w:rPr>
          <w:rFonts w:ascii="David" w:hAnsi="David" w:cs="David"/>
          <w:rtl w:val="true"/>
        </w:rPr>
        <w:t>התשכ</w:t>
      </w:r>
      <w:r>
        <w:rPr>
          <w:rFonts w:cs="David" w:ascii="David" w:hAnsi="David"/>
          <w:rtl w:val="true"/>
        </w:rPr>
        <w:t>"</w:t>
      </w:r>
      <w:r>
        <w:rPr>
          <w:rFonts w:ascii="David" w:hAnsi="David" w:cs="David"/>
          <w:rtl w:val="true"/>
        </w:rPr>
        <w:t>ג</w:t>
      </w:r>
      <w:r>
        <w:rPr>
          <w:rFonts w:cs="David" w:ascii="David" w:hAnsi="David"/>
          <w:rtl w:val="true"/>
        </w:rPr>
        <w:t>-</w:t>
      </w:r>
      <w:r>
        <w:rPr>
          <w:rFonts w:cs="David" w:ascii="David" w:hAnsi="David"/>
        </w:rPr>
        <w:t>1963</w:t>
      </w:r>
      <w:r>
        <w:rPr>
          <w:rFonts w:cs="David" w:ascii="David" w:hAnsi="David"/>
          <w:rtl w:val="true"/>
        </w:rPr>
        <w:t xml:space="preserve"> (</w:t>
      </w:r>
      <w:r>
        <w:rPr>
          <w:rFonts w:ascii="David" w:hAnsi="David" w:cs="David"/>
          <w:rtl w:val="true"/>
        </w:rPr>
        <w:t>להלן</w:t>
      </w:r>
      <w:r>
        <w:rPr>
          <w:rFonts w:cs="David" w:ascii="David" w:hAnsi="David"/>
          <w:rtl w:val="true"/>
        </w:rPr>
        <w:t>: "</w:t>
      </w:r>
      <w:r>
        <w:rPr>
          <w:rFonts w:ascii="Miriam" w:hAnsi="Miriam" w:cs="Miriam"/>
          <w:rtl w:val="true"/>
        </w:rPr>
        <w:t>חוק מיסוי מקרקעין</w:t>
      </w:r>
      <w:r>
        <w:rPr>
          <w:rFonts w:cs="David" w:ascii="David" w:hAnsi="David"/>
          <w:rtl w:val="true"/>
        </w:rPr>
        <w:t xml:space="preserve">"), </w:t>
      </w:r>
      <w:r>
        <w:rPr>
          <w:rFonts w:ascii="David" w:hAnsi="David" w:cs="David"/>
          <w:rtl w:val="true"/>
        </w:rPr>
        <w:t xml:space="preserve">שעניינו קביעת </w:t>
      </w:r>
      <w:r>
        <w:rPr>
          <w:rFonts w:cs="David" w:ascii="David" w:hAnsi="David"/>
          <w:rtl w:val="true"/>
        </w:rPr>
        <w:t>"</w:t>
      </w:r>
      <w:r>
        <w:rPr>
          <w:rFonts w:ascii="David" w:hAnsi="David" w:cs="David"/>
          <w:rtl w:val="true"/>
        </w:rPr>
        <w:t>יום המכירה</w:t>
      </w:r>
      <w:r>
        <w:rPr>
          <w:rFonts w:cs="David" w:ascii="David" w:hAnsi="David"/>
          <w:rtl w:val="true"/>
        </w:rPr>
        <w:t xml:space="preserve">" </w:t>
      </w:r>
      <w:r>
        <w:rPr>
          <w:rFonts w:ascii="David" w:hAnsi="David" w:cs="David"/>
          <w:rtl w:val="true"/>
        </w:rPr>
        <w:t>בעסקת פינוי ובינוי</w:t>
      </w:r>
      <w:r>
        <w:rPr>
          <w:rFonts w:cs="David" w:ascii="David" w:hAnsi="David"/>
          <w:rtl w:val="true"/>
        </w:rPr>
        <w:t xml:space="preserve">. </w:t>
      </w:r>
      <w:r>
        <w:rPr>
          <w:rFonts w:ascii="David" w:hAnsi="David" w:cs="David"/>
          <w:rtl w:val="true"/>
        </w:rPr>
        <w:t>מקום שבו בעל יחידה מוכר ליזם את מלוא זכויותיו ביחידה בעסקה המותנית בתנאי מתלה</w:t>
      </w:r>
      <w:r>
        <w:rPr>
          <w:rFonts w:cs="David" w:ascii="David" w:hAnsi="David"/>
          <w:rtl w:val="true"/>
        </w:rPr>
        <w:t xml:space="preserve">, </w:t>
      </w:r>
      <w:r>
        <w:rPr>
          <w:rFonts w:ascii="David" w:hAnsi="David" w:cs="David"/>
          <w:rtl w:val="true"/>
        </w:rPr>
        <w:t>או מעניק לו אופציה לרכישתן</w:t>
      </w:r>
      <w:r>
        <w:rPr>
          <w:rFonts w:cs="David" w:ascii="David" w:hAnsi="David"/>
          <w:rtl w:val="true"/>
        </w:rPr>
        <w:t xml:space="preserve">, </w:t>
      </w:r>
      <w:r>
        <w:rPr>
          <w:rFonts w:ascii="David" w:hAnsi="David" w:cs="David"/>
          <w:rtl w:val="true"/>
        </w:rPr>
        <w:t>יום המכירה אינו בהכרח מועד כריתת ההסכם</w:t>
      </w:r>
      <w:r>
        <w:rPr>
          <w:rFonts w:cs="David" w:ascii="David" w:hAnsi="David"/>
          <w:rtl w:val="true"/>
        </w:rPr>
        <w:t xml:space="preserve">. </w:t>
      </w:r>
      <w:r>
        <w:rPr>
          <w:rFonts w:ascii="David" w:hAnsi="David" w:cs="David"/>
          <w:rtl w:val="true"/>
        </w:rPr>
        <w:t>בכפוף למסירת הודעה למנהל</w:t>
      </w:r>
      <w:r>
        <w:rPr>
          <w:rFonts w:cs="David" w:ascii="David" w:hAnsi="David"/>
          <w:rtl w:val="true"/>
        </w:rPr>
        <w:t xml:space="preserve">, </w:t>
      </w:r>
      <w:r>
        <w:rPr>
          <w:rFonts w:ascii="David" w:hAnsi="David" w:cs="David"/>
          <w:rtl w:val="true"/>
        </w:rPr>
        <w:t>כמשמעותו בחוק</w:t>
      </w:r>
      <w:r>
        <w:rPr>
          <w:rFonts w:cs="David" w:ascii="David" w:hAnsi="David"/>
          <w:rtl w:val="true"/>
        </w:rPr>
        <w:t xml:space="preserve">, </w:t>
      </w:r>
      <w:r>
        <w:rPr>
          <w:rFonts w:ascii="David" w:hAnsi="David" w:cs="David"/>
          <w:rtl w:val="true"/>
        </w:rPr>
        <w:t>יום המכירה יהיה המוקדם מבין המועדים שנקבעו בסעיף</w:t>
      </w:r>
      <w:r>
        <w:rPr>
          <w:rFonts w:cs="David" w:ascii="David" w:hAnsi="David"/>
          <w:rtl w:val="true"/>
        </w:rPr>
        <w:t xml:space="preserve">: </w:t>
      </w:r>
      <w:r>
        <w:rPr>
          <w:rFonts w:ascii="David" w:hAnsi="David" w:cs="David"/>
          <w:rtl w:val="true"/>
        </w:rPr>
        <w:t>מועד התקיימות התנאי המתלה</w:t>
      </w:r>
      <w:r>
        <w:rPr>
          <w:rFonts w:cs="David" w:ascii="David" w:hAnsi="David"/>
          <w:rtl w:val="true"/>
        </w:rPr>
        <w:t xml:space="preserve">; </w:t>
      </w:r>
      <w:r>
        <w:rPr>
          <w:rFonts w:ascii="David" w:hAnsi="David" w:cs="David"/>
          <w:rtl w:val="true"/>
        </w:rPr>
        <w:t>מועד מימוש האופציה</w:t>
      </w:r>
      <w:r>
        <w:rPr>
          <w:rFonts w:cs="David" w:ascii="David" w:hAnsi="David"/>
          <w:rtl w:val="true"/>
        </w:rPr>
        <w:t xml:space="preserve">; </w:t>
      </w:r>
      <w:r>
        <w:rPr>
          <w:rFonts w:ascii="David" w:hAnsi="David" w:cs="David"/>
          <w:rtl w:val="true"/>
        </w:rPr>
        <w:t>או מועד תחילת הבנייה בידי היזם או מי מטעמו בבניין שאליו מתייחס הסעיף</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הסדר זה משקף את הכרתו של המחוקק במבנה המדורג המאפיין מיזמי פינוי ובינוי</w:t>
      </w:r>
      <w:r>
        <w:rPr>
          <w:rFonts w:cs="David" w:ascii="David" w:hAnsi="David"/>
          <w:rtl w:val="true"/>
        </w:rPr>
        <w:t xml:space="preserve">, </w:t>
      </w:r>
      <w:r>
        <w:rPr>
          <w:rFonts w:ascii="David" w:hAnsi="David" w:cs="David"/>
          <w:rtl w:val="true"/>
        </w:rPr>
        <w:t>ובכך שההתקשרות החוזית עם בעלי הזכויות עשויה להקדים במידה ניכרת את הבשלת התנאים הנדרשים למימוש המיזם ולתחילת הבנייה בפועל</w:t>
      </w:r>
      <w:r>
        <w:rPr>
          <w:rFonts w:cs="David" w:ascii="David" w:hAnsi="David"/>
          <w:rtl w:val="true"/>
        </w:rPr>
        <w:t xml:space="preserve">. </w:t>
      </w:r>
      <w:r>
        <w:rPr>
          <w:rFonts w:ascii="David" w:hAnsi="David" w:cs="David"/>
          <w:rtl w:val="true"/>
        </w:rPr>
        <w:t>הסדר זה תומך בהשקפה שלפיה אין לראות בהתקשרות החוזית ובבנייה אירועים נפרדים ומנותקים</w:t>
      </w:r>
      <w:r>
        <w:rPr>
          <w:rFonts w:cs="David" w:ascii="David" w:hAnsi="David"/>
          <w:rtl w:val="true"/>
        </w:rPr>
        <w:t xml:space="preserve">, </w:t>
      </w:r>
      <w:r>
        <w:rPr>
          <w:rFonts w:ascii="David" w:hAnsi="David" w:cs="David"/>
          <w:rtl w:val="true"/>
        </w:rPr>
        <w:t>אלא שלבים שונים במהלך אחד</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ואכן</w:t>
      </w:r>
      <w:r>
        <w:rPr>
          <w:rFonts w:cs="David" w:ascii="David" w:hAnsi="David"/>
          <w:rtl w:val="true"/>
        </w:rPr>
        <w:t xml:space="preserve">, </w:t>
      </w:r>
      <w:hyperlink r:id="rId22">
        <w:r>
          <w:rPr>
            <w:rStyle w:val="Hyperlink"/>
            <w:rFonts w:ascii="David" w:hAnsi="David" w:cs="David"/>
            <w:rtl w:val="true"/>
          </w:rPr>
          <w:t xml:space="preserve">סעיף </w:t>
        </w:r>
        <w:r>
          <w:rPr>
            <w:rStyle w:val="Hyperlink"/>
            <w:rFonts w:cs="David" w:ascii="David" w:hAnsi="David"/>
          </w:rPr>
          <w:t>49</w:t>
        </w:r>
        <w:r>
          <w:rPr>
            <w:rStyle w:val="Hyperlink"/>
            <w:rFonts w:ascii="David" w:hAnsi="David" w:cs="David"/>
            <w:rtl w:val="true"/>
          </w:rPr>
          <w:t>כ</w:t>
        </w:r>
      </w:hyperlink>
      <w:r>
        <w:rPr>
          <w:rFonts w:ascii="David" w:hAnsi="David" w:cs="David"/>
          <w:rtl w:val="true"/>
        </w:rPr>
        <w:t xml:space="preserve"> מסדיר את עיתוי המכירה לצורכי מיסוי מקרקעין</w:t>
      </w:r>
      <w:r>
        <w:rPr>
          <w:rFonts w:cs="David" w:ascii="David" w:hAnsi="David"/>
          <w:rtl w:val="true"/>
        </w:rPr>
        <w:t xml:space="preserve">, </w:t>
      </w:r>
      <w:r>
        <w:rPr>
          <w:rFonts w:ascii="David" w:hAnsi="David" w:cs="David"/>
          <w:rtl w:val="true"/>
        </w:rPr>
        <w:t>ואין בו כדי לקבוע את מועד מימוש הזכויות לצורך היטל השבחה או להכריע</w:t>
      </w:r>
      <w:r>
        <w:rPr>
          <w:rFonts w:cs="David" w:ascii="David" w:hAnsi="David"/>
          <w:rtl w:val="true"/>
        </w:rPr>
        <w:t xml:space="preserve">, </w:t>
      </w:r>
      <w:r>
        <w:rPr>
          <w:rFonts w:ascii="David" w:hAnsi="David" w:cs="David"/>
          <w:rtl w:val="true"/>
        </w:rPr>
        <w:t>כשלעצמו</w:t>
      </w:r>
      <w:r>
        <w:rPr>
          <w:rFonts w:cs="David" w:ascii="David" w:hAnsi="David"/>
          <w:rtl w:val="true"/>
        </w:rPr>
        <w:t xml:space="preserve">, </w:t>
      </w:r>
      <w:r>
        <w:rPr>
          <w:rFonts w:ascii="David" w:hAnsi="David" w:cs="David"/>
          <w:rtl w:val="true"/>
        </w:rPr>
        <w:t>בשאלת הזכאות לפטור בגין הקמת מרחבים מוגנים</w:t>
      </w:r>
      <w:r>
        <w:rPr>
          <w:rFonts w:cs="David" w:ascii="David" w:hAnsi="David"/>
          <w:rtl w:val="true"/>
        </w:rPr>
        <w:t xml:space="preserve">. </w:t>
      </w:r>
      <w:r>
        <w:rPr>
          <w:rFonts w:ascii="David" w:hAnsi="David" w:cs="David"/>
          <w:rtl w:val="true"/>
        </w:rPr>
        <w:t>ואולם</w:t>
      </w:r>
      <w:r>
        <w:rPr>
          <w:rFonts w:cs="David" w:ascii="David" w:hAnsi="David"/>
          <w:rtl w:val="true"/>
        </w:rPr>
        <w:t xml:space="preserve">, </w:t>
      </w:r>
      <w:r>
        <w:rPr>
          <w:rFonts w:ascii="David" w:hAnsi="David" w:cs="David"/>
          <w:rtl w:val="true"/>
        </w:rPr>
        <w:t>יש בו כדי ללמד כי אף מנקודת מבט פיסקאלית</w:t>
      </w:r>
      <w:r>
        <w:rPr>
          <w:rFonts w:cs="David" w:ascii="David" w:hAnsi="David"/>
          <w:rtl w:val="true"/>
        </w:rPr>
        <w:t xml:space="preserve">, </w:t>
      </w:r>
      <w:r>
        <w:rPr>
          <w:rFonts w:ascii="David" w:hAnsi="David" w:cs="David"/>
          <w:rtl w:val="true"/>
        </w:rPr>
        <w:t>ההתייחסות למיזם פינוי ובינוי אינה בינארית</w:t>
      </w:r>
      <w:r>
        <w:rPr>
          <w:rFonts w:cs="David" w:ascii="David" w:hAnsi="David"/>
          <w:rtl w:val="true"/>
        </w:rPr>
        <w:t xml:space="preserve">, </w:t>
      </w:r>
      <w:r>
        <w:rPr>
          <w:rFonts w:ascii="David" w:hAnsi="David" w:cs="David"/>
          <w:rtl w:val="true"/>
        </w:rPr>
        <w:t xml:space="preserve">כאילו יש לבחור בין </w:t>
      </w:r>
      <w:r>
        <w:rPr>
          <w:rFonts w:cs="David" w:ascii="David" w:hAnsi="David"/>
          <w:rtl w:val="true"/>
        </w:rPr>
        <w:t>"</w:t>
      </w:r>
      <w:r>
        <w:rPr>
          <w:rFonts w:ascii="David" w:hAnsi="David" w:cs="David"/>
          <w:rtl w:val="true"/>
        </w:rPr>
        <w:t>מכר</w:t>
      </w:r>
      <w:r>
        <w:rPr>
          <w:rFonts w:cs="David" w:ascii="David" w:hAnsi="David"/>
          <w:rtl w:val="true"/>
        </w:rPr>
        <w:t xml:space="preserve">" </w:t>
      </w:r>
      <w:r>
        <w:rPr>
          <w:rFonts w:ascii="David" w:hAnsi="David" w:cs="David"/>
          <w:rtl w:val="true"/>
        </w:rPr>
        <w:t xml:space="preserve">לבין </w:t>
      </w:r>
      <w:r>
        <w:rPr>
          <w:rFonts w:cs="David" w:ascii="David" w:hAnsi="David"/>
          <w:rtl w:val="true"/>
        </w:rPr>
        <w:t>"</w:t>
      </w:r>
      <w:r>
        <w:rPr>
          <w:rFonts w:ascii="David" w:hAnsi="David" w:cs="David"/>
          <w:rtl w:val="true"/>
        </w:rPr>
        <w:t>בנייה</w:t>
      </w:r>
      <w:r>
        <w:rPr>
          <w:rFonts w:cs="David" w:ascii="David" w:hAnsi="David"/>
          <w:rtl w:val="true"/>
        </w:rPr>
        <w:t xml:space="preserve">" </w:t>
      </w:r>
      <w:r>
        <w:rPr>
          <w:rFonts w:ascii="David" w:hAnsi="David" w:cs="David"/>
          <w:rtl w:val="true"/>
        </w:rPr>
        <w:t>כאירועים נפרדים ומנותקים</w:t>
      </w:r>
      <w:r>
        <w:rPr>
          <w:rFonts w:cs="David" w:ascii="David" w:hAnsi="David"/>
          <w:rtl w:val="true"/>
        </w:rPr>
        <w:t xml:space="preserve">. </w:t>
      </w:r>
      <w:r>
        <w:rPr>
          <w:rFonts w:ascii="David" w:hAnsi="David" w:cs="David"/>
          <w:rtl w:val="true"/>
        </w:rPr>
        <w:t>נקודת המוצא המשתקפת מן ההסדר היא כי מדובר בתהליך מדורג</w:t>
      </w:r>
      <w:r>
        <w:rPr>
          <w:rFonts w:cs="David" w:ascii="David" w:hAnsi="David"/>
          <w:rtl w:val="true"/>
        </w:rPr>
        <w:t xml:space="preserve">, </w:t>
      </w:r>
      <w:r>
        <w:rPr>
          <w:rFonts w:ascii="David" w:hAnsi="David" w:cs="David"/>
          <w:rtl w:val="true"/>
        </w:rPr>
        <w:t>שרכיביו השונים שלובים זה בזה ומצטרפים לכדי מהלך כלכלי ותכנוני אחד</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 xml:space="preserve">היבט משלים מצוי בנייר עמדה מקצועי מיסוי מקרקעין מס׳ </w:t>
      </w:r>
      <w:r>
        <w:rPr>
          <w:rFonts w:cs="David" w:ascii="David" w:hAnsi="David"/>
        </w:rPr>
        <w:t>06/26</w:t>
      </w:r>
      <w:r>
        <w:rPr>
          <w:rFonts w:cs="David" w:ascii="David" w:hAnsi="David"/>
          <w:rtl w:val="true"/>
        </w:rPr>
        <w:t xml:space="preserve"> </w:t>
      </w:r>
      <w:r>
        <w:rPr>
          <w:rFonts w:ascii="David" w:hAnsi="David" w:cs="David"/>
          <w:rtl w:val="true"/>
        </w:rPr>
        <w:t xml:space="preserve">של רשות המסים </w:t>
      </w:r>
      <w:r>
        <w:rPr>
          <w:rFonts w:cs="David" w:ascii="David" w:hAnsi="David"/>
          <w:rtl w:val="true"/>
        </w:rPr>
        <w:t>(</w:t>
      </w:r>
      <w:r>
        <w:rPr>
          <w:rFonts w:ascii="David" w:hAnsi="David" w:cs="David"/>
          <w:rtl w:val="true"/>
        </w:rPr>
        <w:t xml:space="preserve">פרסום בחודש יולי </w:t>
      </w:r>
      <w:r>
        <w:rPr>
          <w:rFonts w:cs="David" w:ascii="David" w:hAnsi="David"/>
        </w:rPr>
        <w:t>2026</w:t>
      </w:r>
      <w:r>
        <w:rPr>
          <w:rFonts w:cs="David" w:ascii="David" w:hAnsi="David"/>
          <w:rtl w:val="true"/>
        </w:rPr>
        <w:t xml:space="preserve">). </w:t>
      </w:r>
      <w:r>
        <w:rPr>
          <w:rFonts w:ascii="David" w:hAnsi="David" w:cs="David"/>
          <w:rtl w:val="true"/>
        </w:rPr>
        <w:t>עניינו ב</w:t>
      </w:r>
      <w:hyperlink r:id="rId23">
        <w:r>
          <w:rPr>
            <w:rStyle w:val="Hyperlink"/>
            <w:rFonts w:ascii="David" w:hAnsi="David" w:cs="David"/>
            <w:rtl w:val="true"/>
          </w:rPr>
          <w:t xml:space="preserve">סעיף </w:t>
        </w:r>
        <w:r>
          <w:rPr>
            <w:rStyle w:val="Hyperlink"/>
            <w:rFonts w:cs="David" w:ascii="David" w:hAnsi="David"/>
          </w:rPr>
          <w:t>19</w:t>
        </w:r>
        <w:r>
          <w:rPr>
            <w:rStyle w:val="Hyperlink"/>
            <w:rFonts w:cs="David" w:ascii="David" w:hAnsi="David"/>
            <w:rtl w:val="true"/>
          </w:rPr>
          <w:t>(</w:t>
        </w:r>
        <w:r>
          <w:rPr>
            <w:rStyle w:val="Hyperlink"/>
            <w:rFonts w:cs="David" w:ascii="David" w:hAnsi="David"/>
          </w:rPr>
          <w:t>3</w:t>
        </w:r>
        <w:r>
          <w:rPr>
            <w:rStyle w:val="Hyperlink"/>
            <w:rFonts w:ascii="David" w:hAnsi="David" w:cs="David"/>
            <w:rtl w:val="true"/>
          </w:rPr>
          <w:t>א</w:t>
        </w:r>
        <w:r>
          <w:rPr>
            <w:rStyle w:val="Hyperlink"/>
            <w:rFonts w:cs="David" w:ascii="David" w:hAnsi="David"/>
            <w:rtl w:val="true"/>
          </w:rPr>
          <w:t>)</w:t>
        </w:r>
      </w:hyperlink>
      <w:r>
        <w:rPr>
          <w:rFonts w:cs="David" w:ascii="David" w:hAnsi="David"/>
          <w:rtl w:val="true"/>
        </w:rPr>
        <w:t xml:space="preserve"> </w:t>
      </w:r>
      <w:r>
        <w:rPr>
          <w:rFonts w:ascii="David" w:hAnsi="David" w:cs="David"/>
          <w:rtl w:val="true"/>
        </w:rPr>
        <w:t>ל</w:t>
      </w:r>
      <w:hyperlink r:id="rId24">
        <w:r>
          <w:rPr>
            <w:rStyle w:val="Hyperlink"/>
            <w:rFonts w:ascii="David" w:hAnsi="David" w:cs="David"/>
            <w:color w:val="0000FF"/>
            <w:u w:val="single"/>
            <w:rtl w:val="true"/>
          </w:rPr>
          <w:t>חוק מיסוי מקרקעין</w:t>
        </w:r>
      </w:hyperlink>
      <w:r>
        <w:rPr>
          <w:rFonts w:cs="David" w:ascii="David" w:hAnsi="David"/>
          <w:rtl w:val="true"/>
        </w:rPr>
        <w:t xml:space="preserve">, </w:t>
      </w:r>
      <w:r>
        <w:rPr>
          <w:rFonts w:ascii="David" w:hAnsi="David" w:cs="David"/>
          <w:rtl w:val="true"/>
        </w:rPr>
        <w:t>הדוחה את יום המכירה ליום אישור התוכנית בעסקה המותנית בהגדלת אפשרויות הניצול התכנוניות</w:t>
      </w:r>
      <w:r>
        <w:rPr>
          <w:rFonts w:cs="David" w:ascii="David" w:hAnsi="David"/>
          <w:rtl w:val="true"/>
        </w:rPr>
        <w:t xml:space="preserve">, </w:t>
      </w:r>
      <w:r>
        <w:rPr>
          <w:rFonts w:ascii="David" w:hAnsi="David" w:cs="David"/>
          <w:rtl w:val="true"/>
        </w:rPr>
        <w:t>שהתמורה בה מושפעת מהגדלה זו וכולה אינה בכסף</w:t>
      </w:r>
      <w:r>
        <w:rPr>
          <w:rFonts w:cs="David" w:ascii="David" w:hAnsi="David"/>
          <w:rtl w:val="true"/>
        </w:rPr>
        <w:t xml:space="preserve">. </w:t>
      </w:r>
      <w:r>
        <w:rPr>
          <w:rFonts w:ascii="David" w:hAnsi="David" w:cs="David"/>
          <w:rtl w:val="true"/>
        </w:rPr>
        <w:t>רשות המסים הבהירה כי ההסדר חל גם בעסקאות לקבלת שירותי בנייה שבהן הרוכש נוטל על עצמו חבויות מס</w:t>
      </w:r>
      <w:r>
        <w:rPr>
          <w:rFonts w:cs="David" w:ascii="David" w:hAnsi="David"/>
          <w:rtl w:val="true"/>
        </w:rPr>
        <w:t xml:space="preserve">, </w:t>
      </w:r>
      <w:r>
        <w:rPr>
          <w:rFonts w:ascii="David" w:hAnsi="David" w:cs="David"/>
          <w:rtl w:val="true"/>
        </w:rPr>
        <w:t xml:space="preserve">היטלים ואגרות המוטלים על המוכר בקשר לעסקה </w:t>
      </w:r>
      <w:r>
        <w:rPr>
          <w:rFonts w:cs="David" w:ascii="David" w:hAnsi="David"/>
          <w:rtl w:val="true"/>
        </w:rPr>
        <w:t>(</w:t>
      </w:r>
      <w:r>
        <w:rPr>
          <w:rFonts w:ascii="David" w:hAnsi="David" w:cs="David"/>
          <w:rtl w:val="true"/>
        </w:rPr>
        <w:t>עסקאות המכונות ״עסקאות נטו״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לענייננו</w:t>
      </w:r>
      <w:r>
        <w:rPr>
          <w:rFonts w:cs="David" w:ascii="David" w:hAnsi="David"/>
          <w:rtl w:val="true"/>
        </w:rPr>
        <w:t xml:space="preserve">, </w:t>
      </w:r>
      <w:r>
        <w:rPr>
          <w:rFonts w:ascii="David" w:hAnsi="David" w:cs="David"/>
          <w:rtl w:val="true"/>
        </w:rPr>
        <w:t>ניתן לראות בעמדה זו המחשה לבחינת רכיביה של עסקה מתוך הקשרם הכולל</w:t>
      </w:r>
      <w:r>
        <w:rPr>
          <w:rFonts w:cs="David" w:ascii="David" w:hAnsi="David"/>
          <w:rtl w:val="true"/>
        </w:rPr>
        <w:t xml:space="preserve">. </w:t>
      </w:r>
      <w:r>
        <w:rPr>
          <w:rFonts w:ascii="David" w:hAnsi="David" w:cs="David"/>
          <w:rtl w:val="true"/>
        </w:rPr>
        <w:t>נטילת חיובים כספיים של המוכר בידי הרוכש אינה מוציאה</w:t>
      </w:r>
      <w:r>
        <w:rPr>
          <w:rFonts w:cs="David" w:ascii="David" w:hAnsi="David"/>
          <w:rtl w:val="true"/>
        </w:rPr>
        <w:t xml:space="preserve">, </w:t>
      </w:r>
      <w:r>
        <w:rPr>
          <w:rFonts w:ascii="David" w:hAnsi="David" w:cs="David"/>
          <w:rtl w:val="true"/>
        </w:rPr>
        <w:t>לפי העמדה</w:t>
      </w:r>
      <w:r>
        <w:rPr>
          <w:rFonts w:cs="David" w:ascii="David" w:hAnsi="David"/>
          <w:rtl w:val="true"/>
        </w:rPr>
        <w:t xml:space="preserve">, </w:t>
      </w:r>
      <w:r>
        <w:rPr>
          <w:rFonts w:ascii="David" w:hAnsi="David" w:cs="David"/>
          <w:rtl w:val="true"/>
        </w:rPr>
        <w:t>את העסקה מגדר ההסדר המיועד לתמורה שאינה בכסף</w:t>
      </w:r>
      <w:r>
        <w:rPr>
          <w:rFonts w:cs="David" w:ascii="David" w:hAnsi="David"/>
          <w:rtl w:val="true"/>
        </w:rPr>
        <w:t xml:space="preserve">. </w:t>
      </w:r>
      <w:r>
        <w:rPr>
          <w:rFonts w:ascii="David" w:hAnsi="David" w:cs="David"/>
          <w:rtl w:val="true"/>
        </w:rPr>
        <w:t>ניתן ללמוד מכך</w:t>
      </w:r>
      <w:r>
        <w:rPr>
          <w:rFonts w:cs="David" w:ascii="David" w:hAnsi="David"/>
          <w:rtl w:val="true"/>
        </w:rPr>
        <w:t xml:space="preserve">, </w:t>
      </w:r>
      <w:r>
        <w:rPr>
          <w:rFonts w:ascii="David" w:hAnsi="David" w:cs="David"/>
          <w:rtl w:val="true"/>
        </w:rPr>
        <w:t>על דרך ההיקש בלבד</w:t>
      </w:r>
      <w:r>
        <w:rPr>
          <w:rFonts w:cs="David" w:ascii="David" w:hAnsi="David"/>
          <w:rtl w:val="true"/>
        </w:rPr>
        <w:t xml:space="preserve">, </w:t>
      </w:r>
      <w:r>
        <w:rPr>
          <w:rFonts w:ascii="David" w:hAnsi="David" w:cs="David"/>
          <w:rtl w:val="true"/>
        </w:rPr>
        <w:t>כי זיהויו של רכיב משפטי מסוים בתוך עסקה מורכבת אינו ממצה את בחינת משמעותו לצורך הסדר מס ייחודי</w:t>
      </w:r>
      <w:r>
        <w:rPr>
          <w:rFonts w:cs="David" w:ascii="David" w:hAnsi="David"/>
          <w:rtl w:val="true"/>
        </w:rPr>
        <w:t xml:space="preserve">, </w:t>
      </w:r>
      <w:r>
        <w:rPr>
          <w:rFonts w:ascii="David" w:hAnsi="David" w:cs="David"/>
          <w:rtl w:val="true"/>
        </w:rPr>
        <w:t>ויש לבחון גם את תפקידו במכלול ואת תכלית ההוראה המיושמת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בדומה ל</w:t>
      </w:r>
      <w:hyperlink r:id="rId25">
        <w:r>
          <w:rPr>
            <w:rStyle w:val="Hyperlink"/>
            <w:rFonts w:ascii="David" w:hAnsi="David" w:cs="David"/>
            <w:rtl w:val="true"/>
          </w:rPr>
          <w:t xml:space="preserve">סעיף </w:t>
        </w:r>
        <w:r>
          <w:rPr>
            <w:rStyle w:val="Hyperlink"/>
            <w:rFonts w:cs="David" w:ascii="David" w:hAnsi="David"/>
          </w:rPr>
          <w:t>49</w:t>
        </w:r>
        <w:r>
          <w:rPr>
            <w:rStyle w:val="Hyperlink"/>
            <w:rFonts w:ascii="David" w:hAnsi="David" w:cs="David"/>
            <w:rtl w:val="true"/>
          </w:rPr>
          <w:t>כ</w:t>
        </w:r>
      </w:hyperlink>
      <w:r>
        <w:rPr>
          <w:rFonts w:ascii="David" w:hAnsi="David" w:cs="David"/>
          <w:rtl w:val="true"/>
        </w:rPr>
        <w:t xml:space="preserve"> הנ</w:t>
      </w:r>
      <w:r>
        <w:rPr>
          <w:rFonts w:cs="David" w:ascii="David" w:hAnsi="David"/>
          <w:rtl w:val="true"/>
        </w:rPr>
        <w:t>"</w:t>
      </w:r>
      <w:r>
        <w:rPr>
          <w:rFonts w:ascii="David" w:hAnsi="David" w:cs="David"/>
          <w:rtl w:val="true"/>
        </w:rPr>
        <w:t>ל</w:t>
      </w:r>
      <w:r>
        <w:rPr>
          <w:rFonts w:cs="David" w:ascii="David" w:hAnsi="David"/>
          <w:rtl w:val="true"/>
        </w:rPr>
        <w:t xml:space="preserve">, </w:t>
      </w:r>
      <w:r>
        <w:rPr>
          <w:rFonts w:ascii="David" w:hAnsi="David" w:cs="David"/>
          <w:rtl w:val="true"/>
        </w:rPr>
        <w:t>אין בעמדה זו כדי לקבוע את מועד המימוש לצורכי היטל השבחה או להכריע בתחולת הפטור למרחבים מוגנים</w:t>
      </w:r>
      <w:r>
        <w:rPr>
          <w:rFonts w:cs="David" w:ascii="David" w:hAnsi="David"/>
          <w:rtl w:val="true"/>
        </w:rPr>
        <w:t xml:space="preserve">. </w:t>
      </w:r>
      <w:r>
        <w:rPr>
          <w:rFonts w:ascii="David" w:hAnsi="David" w:cs="David"/>
          <w:rtl w:val="true"/>
        </w:rPr>
        <w:t>תרומתה מצומצמת יותר והיא מדגימה גישה שלפיה יש לפרש את התנאים להסדר מס בהתחשב במבנה העסקה ובזיקה שבין רכיביה</w:t>
      </w:r>
      <w:r>
        <w:rPr>
          <w:rFonts w:cs="David" w:ascii="David" w:hAnsi="David"/>
          <w:rtl w:val="true"/>
        </w:rPr>
        <w:t xml:space="preserve">. </w:t>
      </w:r>
      <w:r>
        <w:rPr>
          <w:rFonts w:ascii="David" w:hAnsi="David" w:cs="David"/>
          <w:rtl w:val="true"/>
        </w:rPr>
        <w:t>ברוח זו</w:t>
      </w:r>
      <w:r>
        <w:rPr>
          <w:rFonts w:cs="David" w:ascii="David" w:hAnsi="David"/>
          <w:rtl w:val="true"/>
        </w:rPr>
        <w:t xml:space="preserve">, </w:t>
      </w:r>
      <w:r>
        <w:rPr>
          <w:rFonts w:ascii="David" w:hAnsi="David" w:cs="David"/>
          <w:rtl w:val="true"/>
        </w:rPr>
        <w:t>עמדתנו היא שגם זיהויו של מימוש במכר אינו פוטר מהבחינה הנפרדת אם רכיב ההשבחה הנוגע למרחבים המוגנים מקיים את הזיקה לבנייה הנדרשת בסעיף הפטור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יתרה מזו</w:t>
      </w:r>
      <w:r>
        <w:rPr>
          <w:rFonts w:cs="David" w:ascii="David" w:hAnsi="David"/>
          <w:rtl w:val="true"/>
        </w:rPr>
        <w:t xml:space="preserve">, </w:t>
      </w:r>
      <w:r>
        <w:rPr>
          <w:rFonts w:ascii="David" w:hAnsi="David" w:cs="David"/>
          <w:rtl w:val="true"/>
        </w:rPr>
        <w:t>ספק בעינינו אם יש הצדקה להבחנה המבוססת על מועד כריתתו של הסכם המכר</w:t>
      </w:r>
      <w:r>
        <w:rPr>
          <w:rFonts w:cs="David" w:ascii="David" w:hAnsi="David"/>
          <w:rtl w:val="true"/>
        </w:rPr>
        <w:t xml:space="preserve">. </w:t>
      </w:r>
      <w:r>
        <w:rPr>
          <w:rFonts w:ascii="David" w:hAnsi="David" w:cs="David"/>
          <w:rtl w:val="true"/>
        </w:rPr>
        <w:t>מועד ההתקשרות בין היזם לבין בעלי הזכויות אינו אלא נקודת זמן על ציר התקדמותו של המיזם</w:t>
      </w:r>
      <w:r>
        <w:rPr>
          <w:rFonts w:cs="David" w:ascii="David" w:hAnsi="David"/>
          <w:rtl w:val="true"/>
        </w:rPr>
        <w:t xml:space="preserve">, </w:t>
      </w:r>
      <w:r>
        <w:rPr>
          <w:rFonts w:ascii="David" w:hAnsi="David" w:cs="David"/>
          <w:rtl w:val="true"/>
        </w:rPr>
        <w:t>וקשה לראות מדוע דווקא בו יש לתלות את גורלו של הפטור</w:t>
      </w:r>
      <w:r>
        <w:rPr>
          <w:rFonts w:cs="David" w:ascii="David" w:hAnsi="David"/>
          <w:rtl w:val="true"/>
        </w:rPr>
        <w:t xml:space="preserve">. </w:t>
      </w:r>
      <w:r>
        <w:rPr>
          <w:rFonts w:ascii="David" w:hAnsi="David" w:cs="David"/>
          <w:rtl w:val="true"/>
        </w:rPr>
        <w:t>הדברים מקבלים משנה תוקף מקום שבו עסקינן במיזמים מורכבים</w:t>
      </w:r>
      <w:r>
        <w:rPr>
          <w:rFonts w:cs="David" w:ascii="David" w:hAnsi="David"/>
          <w:rtl w:val="true"/>
        </w:rPr>
        <w:t xml:space="preserve">, </w:t>
      </w:r>
      <w:r>
        <w:rPr>
          <w:rFonts w:ascii="David" w:hAnsi="David" w:cs="David"/>
          <w:rtl w:val="true"/>
        </w:rPr>
        <w:t>אשר מטבעם מתגבשים ומתממשים בשלבים</w:t>
      </w:r>
      <w:r>
        <w:rPr>
          <w:rFonts w:cs="David" w:ascii="David" w:hAnsi="David"/>
          <w:rtl w:val="true"/>
        </w:rPr>
        <w:t xml:space="preserve">. </w:t>
      </w:r>
      <w:r>
        <w:rPr>
          <w:rFonts w:ascii="David" w:hAnsi="David" w:cs="David"/>
          <w:rtl w:val="true"/>
        </w:rPr>
        <w:t>וכי מה בין הסכם שנכרת ערב אישורה של התוכנית לבין הסכם שנכרת למחרת אישורה</w:t>
      </w:r>
      <w:r>
        <w:rPr>
          <w:rFonts w:cs="David" w:ascii="David" w:hAnsi="David"/>
          <w:rtl w:val="true"/>
        </w:rPr>
        <w:t xml:space="preserve">, </w:t>
      </w:r>
      <w:r>
        <w:rPr>
          <w:rFonts w:ascii="David" w:hAnsi="David" w:cs="David"/>
          <w:rtl w:val="true"/>
        </w:rPr>
        <w:t>ככל שבשני המקרים מוביל המהלך להקמתו של מרחב מוגן</w:t>
      </w:r>
      <w:r>
        <w:rPr>
          <w:rFonts w:cs="David" w:ascii="David" w:hAnsi="David"/>
          <w:rtl w:val="true"/>
        </w:rPr>
        <w:t xml:space="preserve">? </w:t>
      </w:r>
      <w:r>
        <w:rPr>
          <w:rFonts w:ascii="David" w:hAnsi="David" w:cs="David"/>
          <w:rtl w:val="true"/>
        </w:rPr>
        <w:t>האם בראשון נגרע דבר מה מהתכלית שלשמה נקבע הפטור</w:t>
      </w:r>
      <w:r>
        <w:rPr>
          <w:rFonts w:cs="David" w:ascii="David" w:hAnsi="David"/>
          <w:rtl w:val="true"/>
        </w:rPr>
        <w:t xml:space="preserve">? </w:t>
      </w:r>
      <w:r>
        <w:rPr>
          <w:rFonts w:ascii="David" w:hAnsi="David" w:cs="David"/>
          <w:rtl w:val="true"/>
        </w:rPr>
        <w:t>לטעמנו</w:t>
      </w:r>
      <w:r>
        <w:rPr>
          <w:rFonts w:cs="David" w:ascii="David" w:hAnsi="David"/>
          <w:rtl w:val="true"/>
        </w:rPr>
        <w:t xml:space="preserve">, </w:t>
      </w:r>
      <w:r>
        <w:rPr>
          <w:rFonts w:ascii="David" w:hAnsi="David" w:cs="David"/>
          <w:rtl w:val="true"/>
        </w:rPr>
        <w:t>התשובה לכך שלילית</w:t>
      </w:r>
      <w:r>
        <w:rPr>
          <w:rFonts w:cs="David" w:ascii="David" w:hAnsi="David"/>
          <w:rtl w:val="true"/>
        </w:rPr>
        <w:t xml:space="preserve">. </w:t>
      </w:r>
      <w:r>
        <w:rPr>
          <w:rFonts w:ascii="David" w:hAnsi="David" w:cs="David"/>
          <w:rtl w:val="true"/>
        </w:rPr>
        <w:t>הבחנה מעין זו מייחסת משקל מכריע לנתון כרונולוגי</w:t>
      </w:r>
      <w:r>
        <w:rPr>
          <w:rFonts w:cs="David" w:ascii="David" w:hAnsi="David"/>
          <w:rtl w:val="true"/>
        </w:rPr>
        <w:t xml:space="preserve">, </w:t>
      </w:r>
      <w:r>
        <w:rPr>
          <w:rFonts w:ascii="David" w:hAnsi="David" w:cs="David"/>
          <w:rtl w:val="true"/>
        </w:rPr>
        <w:t>שעה שהזיקה בינו לבין תכליתו של הפטור אינה ברורה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תכליתו של הפטור אינה לתמרץ את הצדדים לבחור בעיתוי מסוים לחתימה על הסכם</w:t>
      </w:r>
      <w:r>
        <w:rPr>
          <w:rFonts w:cs="David" w:ascii="David" w:hAnsi="David"/>
          <w:rtl w:val="true"/>
        </w:rPr>
        <w:t xml:space="preserve">, </w:t>
      </w:r>
      <w:r>
        <w:rPr>
          <w:rFonts w:ascii="David" w:hAnsi="David" w:cs="David"/>
          <w:rtl w:val="true"/>
        </w:rPr>
        <w:t>אלא להביא להקמתם בפועל של מרחבים מוגנים</w:t>
      </w:r>
      <w:r>
        <w:rPr>
          <w:rFonts w:cs="David" w:ascii="David" w:hAnsi="David"/>
          <w:rtl w:val="true"/>
        </w:rPr>
        <w:t xml:space="preserve">. </w:t>
      </w:r>
      <w:r>
        <w:rPr>
          <w:rFonts w:ascii="David" w:hAnsi="David" w:cs="David"/>
          <w:rtl w:val="true"/>
        </w:rPr>
        <w:t>מנקודת מבטה של תכלית זו</w:t>
      </w:r>
      <w:r>
        <w:rPr>
          <w:rFonts w:cs="David" w:ascii="David" w:hAnsi="David"/>
          <w:rtl w:val="true"/>
        </w:rPr>
        <w:t xml:space="preserve">, </w:t>
      </w:r>
      <w:r>
        <w:rPr>
          <w:rFonts w:ascii="David" w:hAnsi="David" w:cs="David"/>
          <w:rtl w:val="true"/>
        </w:rPr>
        <w:t>השאלה אם ההסכם נחתם לפני אישור התוכנית או לאחר כניסתה לתוקף אינה אלא נתון כרונולוגי</w:t>
      </w:r>
      <w:r>
        <w:rPr>
          <w:rFonts w:cs="David" w:ascii="David" w:hAnsi="David"/>
          <w:rtl w:val="true"/>
        </w:rPr>
        <w:t xml:space="preserve">, </w:t>
      </w:r>
      <w:r>
        <w:rPr>
          <w:rFonts w:ascii="David" w:hAnsi="David" w:cs="David"/>
          <w:rtl w:val="true"/>
        </w:rPr>
        <w:t>שאין לייחס לו משמעות שאינה טבועה בו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הדברים ברורים אף יותר כאשר ההסכם מותנה בקבלת היתר בנייה</w:t>
      </w:r>
      <w:r>
        <w:rPr>
          <w:rFonts w:cs="David" w:ascii="David" w:hAnsi="David"/>
          <w:rtl w:val="true"/>
        </w:rPr>
        <w:t xml:space="preserve">. </w:t>
      </w:r>
      <w:r>
        <w:rPr>
          <w:rFonts w:ascii="David" w:hAnsi="David" w:cs="David"/>
          <w:rtl w:val="true"/>
        </w:rPr>
        <w:t>במקרה כזה</w:t>
      </w:r>
      <w:r>
        <w:rPr>
          <w:rFonts w:cs="David" w:ascii="David" w:hAnsi="David"/>
          <w:rtl w:val="true"/>
        </w:rPr>
        <w:t xml:space="preserve">, </w:t>
      </w:r>
      <w:r>
        <w:rPr>
          <w:rFonts w:ascii="David" w:hAnsi="David" w:cs="David"/>
          <w:rtl w:val="true"/>
        </w:rPr>
        <w:t>ההתקשרות אינה עומדת לעצמה</w:t>
      </w:r>
      <w:r>
        <w:rPr>
          <w:rFonts w:cs="David" w:ascii="David" w:hAnsi="David"/>
          <w:rtl w:val="true"/>
        </w:rPr>
        <w:t xml:space="preserve">, </w:t>
      </w:r>
      <w:r>
        <w:rPr>
          <w:rFonts w:ascii="David" w:hAnsi="David" w:cs="David"/>
          <w:rtl w:val="true"/>
        </w:rPr>
        <w:t>אלא משמשת חוליה במהלך שמטרתו המעשית היא מימוש המיזם והוצאת הבנייה מן הכוח אל הפועל</w:t>
      </w:r>
      <w:r>
        <w:rPr>
          <w:rFonts w:cs="David" w:ascii="David" w:hAnsi="David"/>
          <w:rtl w:val="true"/>
        </w:rPr>
        <w:t xml:space="preserve">. </w:t>
      </w:r>
      <w:r>
        <w:rPr>
          <w:rFonts w:ascii="David" w:hAnsi="David" w:cs="David"/>
          <w:rtl w:val="true"/>
        </w:rPr>
        <w:t>העובדה שחוליה זו קדמה לאישור התוכנית אינה משנה את טיבה</w:t>
      </w:r>
      <w:r>
        <w:rPr>
          <w:rFonts w:cs="David" w:ascii="David" w:hAnsi="David"/>
          <w:rtl w:val="true"/>
        </w:rPr>
        <w:t xml:space="preserve">, </w:t>
      </w:r>
      <w:r>
        <w:rPr>
          <w:rFonts w:ascii="David" w:hAnsi="David" w:cs="David"/>
          <w:rtl w:val="true"/>
        </w:rPr>
        <w:t>כשם שהעברתה לצדו האחר של קו הזמן התכנוני אינה משנה את תכליתה</w:t>
      </w:r>
      <w:r>
        <w:rPr>
          <w:rFonts w:cs="David" w:ascii="David" w:hAnsi="David"/>
          <w:rtl w:val="true"/>
        </w:rPr>
        <w:t xml:space="preserve">. </w:t>
      </w:r>
      <w:r>
        <w:rPr>
          <w:rFonts w:ascii="David" w:hAnsi="David" w:cs="David"/>
          <w:rtl w:val="true"/>
        </w:rPr>
        <w:t>הדין</w:t>
      </w:r>
      <w:r>
        <w:rPr>
          <w:rFonts w:cs="David" w:ascii="David" w:hAnsi="David"/>
          <w:rtl w:val="true"/>
        </w:rPr>
        <w:t xml:space="preserve">, </w:t>
      </w:r>
      <w:r>
        <w:rPr>
          <w:rFonts w:ascii="David" w:hAnsi="David" w:cs="David"/>
          <w:rtl w:val="true"/>
        </w:rPr>
        <w:t>מטבע הדברים</w:t>
      </w:r>
      <w:r>
        <w:rPr>
          <w:rFonts w:cs="David" w:ascii="David" w:hAnsi="David"/>
          <w:rtl w:val="true"/>
        </w:rPr>
        <w:t xml:space="preserve">, </w:t>
      </w:r>
      <w:r>
        <w:rPr>
          <w:rFonts w:ascii="David" w:hAnsi="David" w:cs="David"/>
          <w:rtl w:val="true"/>
        </w:rPr>
        <w:t>נדרש למהות המהלך ולא למקריות שבלוח השנה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משכך</w:t>
      </w:r>
      <w:r>
        <w:rPr>
          <w:rFonts w:cs="David" w:ascii="David" w:hAnsi="David"/>
          <w:rtl w:val="true"/>
        </w:rPr>
        <w:t xml:space="preserve">, </w:t>
      </w:r>
      <w:r>
        <w:rPr>
          <w:rFonts w:ascii="David" w:hAnsi="David" w:cs="David"/>
          <w:rtl w:val="true"/>
        </w:rPr>
        <w:t>איננו סבורים כי יש הצדקה להעמיד את הזכאות לפטור על הבחנה כרונולוגית שאינה משרתת את תכליתו</w:t>
      </w:r>
      <w:r>
        <w:rPr>
          <w:rFonts w:cs="David" w:ascii="David" w:hAnsi="David"/>
          <w:rtl w:val="true"/>
        </w:rPr>
        <w:t xml:space="preserve">. </w:t>
      </w:r>
      <w:r>
        <w:rPr>
          <w:rFonts w:ascii="David" w:hAnsi="David" w:cs="David"/>
          <w:rtl w:val="true"/>
        </w:rPr>
        <w:t>יש לבחון את ההתקשרות כחלק מהמהלך התכנוני והחוזי הכולל</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בענייננו</w:t>
      </w:r>
      <w:r>
        <w:rPr>
          <w:rFonts w:cs="David" w:ascii="David" w:hAnsi="David"/>
          <w:rtl w:val="true"/>
        </w:rPr>
        <w:t xml:space="preserve">, </w:t>
      </w:r>
      <w:r>
        <w:rPr>
          <w:rFonts w:ascii="David" w:hAnsi="David" w:cs="David"/>
          <w:rtl w:val="true"/>
        </w:rPr>
        <w:t>מרבית הסכמי המכר נכרתו</w:t>
      </w:r>
      <w:r>
        <w:rPr>
          <w:rFonts w:cs="David" w:ascii="David" w:hAnsi="David"/>
          <w:rtl w:val="true"/>
        </w:rPr>
        <w:t xml:space="preserve">, </w:t>
      </w:r>
      <w:r>
        <w:rPr>
          <w:rFonts w:ascii="David" w:hAnsi="David" w:cs="David"/>
          <w:rtl w:val="true"/>
        </w:rPr>
        <w:t>למצער במתכונתם המקורית</w:t>
      </w:r>
      <w:r>
        <w:rPr>
          <w:rFonts w:cs="David" w:ascii="David" w:hAnsi="David"/>
          <w:rtl w:val="true"/>
        </w:rPr>
        <w:t xml:space="preserve">, </w:t>
      </w:r>
      <w:r>
        <w:rPr>
          <w:rFonts w:ascii="David" w:hAnsi="David" w:cs="David"/>
          <w:rtl w:val="true"/>
        </w:rPr>
        <w:t>קודם לכניסתה של התוכנית לתוקף</w:t>
      </w:r>
      <w:r>
        <w:rPr>
          <w:rFonts w:cs="David" w:ascii="David" w:hAnsi="David"/>
          <w:rtl w:val="true"/>
        </w:rPr>
        <w:t xml:space="preserve">, </w:t>
      </w:r>
      <w:r>
        <w:rPr>
          <w:rFonts w:ascii="David" w:hAnsi="David" w:cs="David"/>
          <w:rtl w:val="true"/>
        </w:rPr>
        <w:t>ונכון למועד תחילת התוכנית כבר הושגה הסכמה של בעלי זכויות ב</w:t>
      </w:r>
      <w:r>
        <w:rPr>
          <w:rFonts w:cs="David" w:ascii="David" w:hAnsi="David"/>
          <w:rtl w:val="true"/>
        </w:rPr>
        <w:t>-</w:t>
      </w:r>
      <w:r>
        <w:rPr>
          <w:rFonts w:cs="David" w:ascii="David" w:hAnsi="David"/>
        </w:rPr>
        <w:t>114</w:t>
      </w:r>
      <w:r>
        <w:rPr>
          <w:rFonts w:cs="David" w:ascii="David" w:hAnsi="David"/>
          <w:rtl w:val="true"/>
        </w:rPr>
        <w:t xml:space="preserve"> </w:t>
      </w:r>
      <w:r>
        <w:rPr>
          <w:rFonts w:ascii="David" w:hAnsi="David" w:cs="David"/>
          <w:rtl w:val="true"/>
        </w:rPr>
        <w:t xml:space="preserve">יחידות דיור מתוך </w:t>
      </w:r>
      <w:r>
        <w:rPr>
          <w:rFonts w:cs="David" w:ascii="David" w:hAnsi="David"/>
        </w:rPr>
        <w:t>138</w:t>
      </w:r>
      <w:r>
        <w:rPr>
          <w:rFonts w:cs="David" w:ascii="David" w:hAnsi="David"/>
          <w:rtl w:val="true"/>
        </w:rPr>
        <w:t xml:space="preserve"> </w:t>
      </w:r>
      <w:r>
        <w:rPr>
          <w:rFonts w:ascii="David" w:hAnsi="David" w:cs="David"/>
          <w:rtl w:val="true"/>
        </w:rPr>
        <w:t>יחידות דיור</w:t>
      </w:r>
      <w:r>
        <w:rPr>
          <w:rFonts w:cs="David" w:ascii="David" w:hAnsi="David"/>
          <w:rtl w:val="true"/>
        </w:rPr>
        <w:t xml:space="preserve">, </w:t>
      </w:r>
      <w:r>
        <w:rPr>
          <w:rFonts w:ascii="David" w:hAnsi="David" w:cs="David"/>
          <w:rtl w:val="true"/>
        </w:rPr>
        <w:t>כך לפי עמדת הוועדה המקומית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ההסכמים עצמם כרכו את העברת הזכויות בקידומו של המיזם</w:t>
      </w:r>
      <w:r>
        <w:rPr>
          <w:rFonts w:cs="David" w:ascii="David" w:hAnsi="David"/>
          <w:rtl w:val="true"/>
        </w:rPr>
        <w:t xml:space="preserve">, </w:t>
      </w:r>
      <w:r>
        <w:rPr>
          <w:rFonts w:ascii="David" w:hAnsi="David" w:cs="David"/>
          <w:rtl w:val="true"/>
        </w:rPr>
        <w:t>וקבעו לוחות זמנים ברורים לאישור התוכנית ולקבלת היתרי בנייה מכוחה</w:t>
      </w:r>
      <w:r>
        <w:rPr>
          <w:rFonts w:cs="David" w:ascii="David" w:hAnsi="David"/>
          <w:rtl w:val="true"/>
        </w:rPr>
        <w:t xml:space="preserve">. </w:t>
      </w:r>
      <w:r>
        <w:rPr>
          <w:rFonts w:ascii="David" w:hAnsi="David" w:cs="David"/>
          <w:rtl w:val="true"/>
        </w:rPr>
        <w:t>ככל שהתקדם המיזם על ציר הזמן</w:t>
      </w:r>
      <w:r>
        <w:rPr>
          <w:rFonts w:cs="David" w:ascii="David" w:hAnsi="David"/>
          <w:rtl w:val="true"/>
        </w:rPr>
        <w:t xml:space="preserve">, </w:t>
      </w:r>
      <w:r>
        <w:rPr>
          <w:rFonts w:ascii="David" w:hAnsi="David" w:cs="David"/>
          <w:rtl w:val="true"/>
        </w:rPr>
        <w:t>גדל שיעור ההסכמות</w:t>
      </w:r>
      <w:r>
        <w:rPr>
          <w:rFonts w:cs="David" w:ascii="David" w:hAnsi="David"/>
          <w:rtl w:val="true"/>
        </w:rPr>
        <w:t xml:space="preserve">, </w:t>
      </w:r>
      <w:r>
        <w:rPr>
          <w:rFonts w:ascii="David" w:hAnsi="David" w:cs="David"/>
          <w:rtl w:val="true"/>
        </w:rPr>
        <w:t>ובד בבד התקדמו גם הליכי מימושו</w:t>
      </w:r>
      <w:r>
        <w:rPr>
          <w:rFonts w:cs="David" w:ascii="David" w:hAnsi="David"/>
          <w:rtl w:val="true"/>
        </w:rPr>
        <w:t xml:space="preserve">, </w:t>
      </w:r>
      <w:r>
        <w:rPr>
          <w:rFonts w:ascii="David" w:hAnsi="David" w:cs="David"/>
          <w:rtl w:val="true"/>
        </w:rPr>
        <w:t>עד למתן היתרי הבנייה הראשונים במתחם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בנסיבות אלה</w:t>
      </w:r>
      <w:r>
        <w:rPr>
          <w:rFonts w:cs="David" w:ascii="David" w:hAnsi="David"/>
          <w:rtl w:val="true"/>
        </w:rPr>
        <w:t xml:space="preserve">, </w:t>
      </w:r>
      <w:r>
        <w:rPr>
          <w:rFonts w:ascii="David" w:hAnsi="David" w:cs="David"/>
          <w:rtl w:val="true"/>
        </w:rPr>
        <w:t>לשיטתנו</w:t>
      </w:r>
      <w:r>
        <w:rPr>
          <w:rFonts w:cs="David" w:ascii="David" w:hAnsi="David"/>
          <w:rtl w:val="true"/>
        </w:rPr>
        <w:t xml:space="preserve">, </w:t>
      </w:r>
      <w:r>
        <w:rPr>
          <w:rFonts w:ascii="David" w:hAnsi="David" w:cs="David"/>
          <w:rtl w:val="true"/>
        </w:rPr>
        <w:t>קשה לראות בהעברת הזכויות להקמת מרחבים מוגנים משום מכר העומד בפני עצמו</w:t>
      </w:r>
      <w:r>
        <w:rPr>
          <w:rFonts w:cs="David" w:ascii="David" w:hAnsi="David"/>
          <w:rtl w:val="true"/>
        </w:rPr>
        <w:t xml:space="preserve">, </w:t>
      </w:r>
      <w:r>
        <w:rPr>
          <w:rFonts w:ascii="David" w:hAnsi="David" w:cs="David"/>
          <w:rtl w:val="true"/>
        </w:rPr>
        <w:t>במנותק מהמהלך שנועד להביא למימושן בבנייה</w:t>
      </w:r>
      <w:r>
        <w:rPr>
          <w:rFonts w:cs="David" w:ascii="David" w:hAnsi="David"/>
          <w:rtl w:val="true"/>
        </w:rPr>
        <w:t xml:space="preserve">. </w:t>
      </w:r>
      <w:r>
        <w:rPr>
          <w:rFonts w:ascii="David" w:hAnsi="David" w:cs="David"/>
          <w:rtl w:val="true"/>
        </w:rPr>
        <w:t>עם זאת</w:t>
      </w:r>
      <w:r>
        <w:rPr>
          <w:rFonts w:cs="David" w:ascii="David" w:hAnsi="David"/>
          <w:rtl w:val="true"/>
        </w:rPr>
        <w:t xml:space="preserve">, </w:t>
      </w:r>
      <w:r>
        <w:rPr>
          <w:rFonts w:ascii="David" w:hAnsi="David" w:cs="David"/>
          <w:rtl w:val="true"/>
        </w:rPr>
        <w:t>נקודת המוצא להכרעתנו היא</w:t>
      </w:r>
      <w:r>
        <w:rPr>
          <w:rFonts w:cs="David" w:ascii="David" w:hAnsi="David"/>
          <w:rtl w:val="true"/>
        </w:rPr>
        <w:t xml:space="preserve">, </w:t>
      </w:r>
      <w:r>
        <w:rPr>
          <w:rFonts w:ascii="David" w:hAnsi="David" w:cs="David"/>
          <w:rtl w:val="true"/>
        </w:rPr>
        <w:t>כמובן</w:t>
      </w:r>
      <w:r>
        <w:rPr>
          <w:rFonts w:cs="David" w:ascii="David" w:hAnsi="David"/>
          <w:rtl w:val="true"/>
        </w:rPr>
        <w:t xml:space="preserve">, </w:t>
      </w:r>
      <w:r>
        <w:rPr>
          <w:rFonts w:ascii="David" w:hAnsi="David" w:cs="David"/>
          <w:rtl w:val="true"/>
        </w:rPr>
        <w:t xml:space="preserve">ההלכה שנקבעה </w:t>
      </w:r>
      <w:r>
        <w:rPr>
          <w:rFonts w:ascii="Miriam" w:hAnsi="Miriam" w:cs="Miriam"/>
          <w:rtl w:val="true"/>
        </w:rPr>
        <w:t>בעניין בקר</w:t>
      </w:r>
      <w:r>
        <w:rPr>
          <w:rFonts w:cs="David" w:ascii="David" w:hAnsi="David"/>
          <w:rtl w:val="true"/>
        </w:rPr>
        <w:t xml:space="preserve">, </w:t>
      </w:r>
      <w:r>
        <w:rPr>
          <w:rFonts w:ascii="David" w:hAnsi="David" w:cs="David"/>
          <w:rtl w:val="true"/>
        </w:rPr>
        <w:t>המחייבת אותנו</w:t>
      </w:r>
      <w:r>
        <w:rPr>
          <w:rFonts w:cs="David" w:ascii="David" w:hAnsi="David"/>
          <w:rtl w:val="true"/>
        </w:rPr>
        <w:t xml:space="preserve">. </w:t>
      </w:r>
      <w:r>
        <w:rPr>
          <w:rFonts w:ascii="David" w:hAnsi="David" w:cs="David"/>
          <w:rtl w:val="true"/>
        </w:rPr>
        <w:t>משכך</w:t>
      </w:r>
      <w:r>
        <w:rPr>
          <w:rFonts w:cs="David" w:ascii="David" w:hAnsi="David"/>
          <w:rtl w:val="true"/>
        </w:rPr>
        <w:t xml:space="preserve">, </w:t>
      </w:r>
      <w:r>
        <w:rPr>
          <w:rFonts w:ascii="David" w:hAnsi="David" w:cs="David"/>
          <w:rtl w:val="true"/>
        </w:rPr>
        <w:t>אף שעמדתנו באשר לפרשנותו של סעיף הפטור וליישומו בנסיבות כגון אלה שונה</w:t>
      </w:r>
      <w:r>
        <w:rPr>
          <w:rFonts w:cs="David" w:ascii="David" w:hAnsi="David"/>
          <w:rtl w:val="true"/>
        </w:rPr>
        <w:t xml:space="preserve">, </w:t>
      </w:r>
      <w:r>
        <w:rPr>
          <w:rFonts w:ascii="David" w:hAnsi="David" w:cs="David"/>
          <w:rtl w:val="true"/>
        </w:rPr>
        <w:t>הכרעתנו תיעשה בגדרי ההלכה שנקבעה ובכפוף לה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ואולם</w:t>
      </w:r>
      <w:r>
        <w:rPr>
          <w:rFonts w:cs="David" w:ascii="David" w:hAnsi="David"/>
          <w:rtl w:val="true"/>
        </w:rPr>
        <w:t xml:space="preserve">, </w:t>
      </w:r>
      <w:r>
        <w:rPr>
          <w:rFonts w:ascii="David" w:hAnsi="David" w:cs="David"/>
          <w:rtl w:val="true"/>
        </w:rPr>
        <w:t xml:space="preserve">משמבקשים אנו להוריד את שנפסק </w:t>
      </w:r>
      <w:r>
        <w:rPr>
          <w:rFonts w:ascii="Miriam" w:hAnsi="Miriam" w:cs="Miriam"/>
          <w:rtl w:val="true"/>
        </w:rPr>
        <w:t>בעניין בקר</w:t>
      </w:r>
      <w:r>
        <w:rPr>
          <w:rFonts w:ascii="David" w:hAnsi="David" w:cs="David"/>
          <w:rtl w:val="true"/>
        </w:rPr>
        <w:t xml:space="preserve"> מן המישור העיוני אל קרקע המציאות שלפנינו</w:t>
      </w:r>
      <w:r>
        <w:rPr>
          <w:rFonts w:cs="David" w:ascii="David" w:hAnsi="David"/>
          <w:rtl w:val="true"/>
        </w:rPr>
        <w:t xml:space="preserve">, </w:t>
      </w:r>
      <w:r>
        <w:rPr>
          <w:rFonts w:ascii="David" w:hAnsi="David" w:cs="David"/>
          <w:rtl w:val="true"/>
        </w:rPr>
        <w:t>מתגלה קושי של ממש</w:t>
      </w:r>
      <w:r>
        <w:rPr>
          <w:rFonts w:cs="David" w:ascii="David" w:hAnsi="David"/>
          <w:rtl w:val="true"/>
        </w:rPr>
        <w:t xml:space="preserve">. </w:t>
      </w:r>
      <w:r>
        <w:rPr>
          <w:rFonts w:ascii="David" w:hAnsi="David" w:cs="David"/>
          <w:rtl w:val="true"/>
        </w:rPr>
        <w:t>הקושי נעוץ בניסיון לבודד</w:t>
      </w:r>
      <w:r>
        <w:rPr>
          <w:rFonts w:cs="David" w:ascii="David" w:hAnsi="David"/>
          <w:rtl w:val="true"/>
        </w:rPr>
        <w:t xml:space="preserve">, </w:t>
      </w:r>
      <w:r>
        <w:rPr>
          <w:rFonts w:ascii="David" w:hAnsi="David" w:cs="David"/>
          <w:rtl w:val="true"/>
        </w:rPr>
        <w:t>מתוך מכלול זכויות הבנייה שהקנתה התוכנית</w:t>
      </w:r>
      <w:r>
        <w:rPr>
          <w:rFonts w:cs="David" w:ascii="David" w:hAnsi="David"/>
          <w:rtl w:val="true"/>
        </w:rPr>
        <w:t xml:space="preserve">, </w:t>
      </w:r>
      <w:r>
        <w:rPr>
          <w:rFonts w:ascii="David" w:hAnsi="David" w:cs="David"/>
          <w:rtl w:val="true"/>
        </w:rPr>
        <w:t xml:space="preserve">את אותו </w:t>
      </w:r>
      <w:r>
        <w:rPr>
          <w:rFonts w:cs="David" w:ascii="David" w:hAnsi="David"/>
          <w:rtl w:val="true"/>
        </w:rPr>
        <w:t>"</w:t>
      </w:r>
      <w:r>
        <w:rPr>
          <w:rFonts w:ascii="David" w:hAnsi="David" w:cs="David"/>
          <w:rtl w:val="true"/>
        </w:rPr>
        <w:t>נתח</w:t>
      </w:r>
      <w:r>
        <w:rPr>
          <w:rFonts w:cs="David" w:ascii="David" w:hAnsi="David"/>
          <w:rtl w:val="true"/>
        </w:rPr>
        <w:t xml:space="preserve">" </w:t>
      </w:r>
      <w:r>
        <w:rPr>
          <w:rFonts w:ascii="David" w:hAnsi="David" w:cs="David"/>
          <w:rtl w:val="true"/>
        </w:rPr>
        <w:t>של זכויות להקמת מרחבים מוגנים שניתן לייחס לכל אחד מבעלי הזכויות במתחם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נניח</w:t>
      </w:r>
      <w:r>
        <w:rPr>
          <w:rFonts w:cs="David" w:ascii="David" w:hAnsi="David"/>
          <w:rtl w:val="true"/>
        </w:rPr>
        <w:t xml:space="preserve">, </w:t>
      </w:r>
      <w:r>
        <w:rPr>
          <w:rFonts w:ascii="David" w:hAnsi="David" w:cs="David"/>
          <w:rtl w:val="true"/>
        </w:rPr>
        <w:t>לצורך הדיון</w:t>
      </w:r>
      <w:r>
        <w:rPr>
          <w:rFonts w:cs="David" w:ascii="David" w:hAnsi="David"/>
          <w:rtl w:val="true"/>
        </w:rPr>
        <w:t xml:space="preserve">, </w:t>
      </w:r>
      <w:r>
        <w:rPr>
          <w:rFonts w:ascii="David" w:hAnsi="David" w:cs="David"/>
          <w:rtl w:val="true"/>
        </w:rPr>
        <w:t xml:space="preserve">כי התוכנית מעמידה לרשות המתחם </w:t>
      </w:r>
      <w:r>
        <w:rPr>
          <w:rFonts w:cs="David" w:ascii="David" w:hAnsi="David"/>
          <w:rtl w:val="true"/>
        </w:rPr>
        <w:t>"</w:t>
      </w:r>
      <w:r>
        <w:rPr>
          <w:rFonts w:ascii="David" w:hAnsi="David" w:cs="David"/>
          <w:rtl w:val="true"/>
        </w:rPr>
        <w:t>עוגה</w:t>
      </w:r>
      <w:r>
        <w:rPr>
          <w:rFonts w:cs="David" w:ascii="David" w:hAnsi="David"/>
          <w:rtl w:val="true"/>
        </w:rPr>
        <w:t xml:space="preserve">" </w:t>
      </w:r>
      <w:r>
        <w:rPr>
          <w:rFonts w:ascii="David" w:hAnsi="David" w:cs="David"/>
          <w:rtl w:val="true"/>
        </w:rPr>
        <w:t>תכנונית של זכויות בנייה</w:t>
      </w:r>
      <w:r>
        <w:rPr>
          <w:rFonts w:cs="David" w:ascii="David" w:hAnsi="David"/>
          <w:rtl w:val="true"/>
        </w:rPr>
        <w:t xml:space="preserve">, </w:t>
      </w:r>
      <w:r>
        <w:rPr>
          <w:rFonts w:ascii="David" w:hAnsi="David" w:cs="David"/>
          <w:rtl w:val="true"/>
        </w:rPr>
        <w:t>וכי חלקו של כל בעל זכויות בעוגה זו נגזר מחלקו היחסי ברכוש המשותף</w:t>
      </w:r>
      <w:r>
        <w:rPr>
          <w:rFonts w:cs="David" w:ascii="David" w:hAnsi="David"/>
          <w:rtl w:val="true"/>
        </w:rPr>
        <w:t xml:space="preserve">. </w:t>
      </w:r>
      <w:r>
        <w:rPr>
          <w:rFonts w:ascii="David" w:hAnsi="David" w:cs="David"/>
          <w:rtl w:val="true"/>
        </w:rPr>
        <w:t>גם תחת הנחה זו</w:t>
      </w:r>
      <w:r>
        <w:rPr>
          <w:rFonts w:cs="David" w:ascii="David" w:hAnsi="David"/>
          <w:rtl w:val="true"/>
        </w:rPr>
        <w:t xml:space="preserve">, </w:t>
      </w:r>
      <w:r>
        <w:rPr>
          <w:rFonts w:ascii="David" w:hAnsi="David" w:cs="David"/>
          <w:rtl w:val="true"/>
        </w:rPr>
        <w:t xml:space="preserve">הדרך ליישום </w:t>
      </w:r>
      <w:r>
        <w:rPr>
          <w:rFonts w:ascii="Miriam" w:hAnsi="Miriam" w:cs="Miriam"/>
          <w:rtl w:val="true"/>
        </w:rPr>
        <w:t>עניין בקר</w:t>
      </w:r>
      <w:r>
        <w:rPr>
          <w:rFonts w:ascii="David" w:hAnsi="David" w:cs="David"/>
          <w:rtl w:val="true"/>
        </w:rPr>
        <w:t xml:space="preserve"> אינה קצרה</w:t>
      </w:r>
      <w:r>
        <w:rPr>
          <w:rFonts w:cs="David" w:ascii="David" w:hAnsi="David"/>
          <w:rtl w:val="true"/>
        </w:rPr>
        <w:t xml:space="preserve">. </w:t>
      </w:r>
      <w:r>
        <w:rPr>
          <w:rFonts w:ascii="David" w:hAnsi="David" w:cs="David"/>
          <w:rtl w:val="true"/>
        </w:rPr>
        <w:t>נדרשות למצער שתי הבחנות נוספות</w:t>
      </w:r>
      <w:r>
        <w:rPr>
          <w:rFonts w:cs="David" w:ascii="David" w:hAnsi="David"/>
          <w:rtl w:val="true"/>
        </w:rPr>
        <w:t xml:space="preserve">: </w:t>
      </w:r>
      <w:r>
        <w:rPr>
          <w:rFonts w:ascii="David" w:hAnsi="David" w:cs="David"/>
          <w:rtl w:val="true"/>
        </w:rPr>
        <w:t>תחילה</w:t>
      </w:r>
      <w:r>
        <w:rPr>
          <w:rFonts w:cs="David" w:ascii="David" w:hAnsi="David"/>
          <w:rtl w:val="true"/>
        </w:rPr>
        <w:t xml:space="preserve">, </w:t>
      </w:r>
      <w:r>
        <w:rPr>
          <w:rFonts w:ascii="David" w:hAnsi="David" w:cs="David"/>
          <w:rtl w:val="true"/>
        </w:rPr>
        <w:t>יש לחלץ מתוך חלקו היחסי של בעל הזכויות את שיעור הזכויות המיוחס דווקא להקמת מרחבים מוגנים</w:t>
      </w:r>
      <w:r>
        <w:rPr>
          <w:rFonts w:cs="David" w:ascii="David" w:hAnsi="David"/>
          <w:rtl w:val="true"/>
        </w:rPr>
        <w:t xml:space="preserve">; </w:t>
      </w:r>
      <w:r>
        <w:rPr>
          <w:rFonts w:ascii="David" w:hAnsi="David" w:cs="David"/>
          <w:rtl w:val="true"/>
        </w:rPr>
        <w:t>ולאחר מכן יש לפצל גם רכיב זה לשניים – הזכויות שימומשו במרחב המוגן בדירת התמורה שתימסר לאותו בעל זכויות</w:t>
      </w:r>
      <w:r>
        <w:rPr>
          <w:rFonts w:cs="David" w:ascii="David" w:hAnsi="David"/>
          <w:rtl w:val="true"/>
        </w:rPr>
        <w:t xml:space="preserve">, </w:t>
      </w:r>
      <w:r>
        <w:rPr>
          <w:rFonts w:ascii="David" w:hAnsi="David" w:cs="David"/>
          <w:rtl w:val="true"/>
        </w:rPr>
        <w:t>מזה</w:t>
      </w:r>
      <w:r>
        <w:rPr>
          <w:rFonts w:cs="David" w:ascii="David" w:hAnsi="David"/>
          <w:rtl w:val="true"/>
        </w:rPr>
        <w:t xml:space="preserve">, </w:t>
      </w:r>
      <w:r>
        <w:rPr>
          <w:rFonts w:ascii="David" w:hAnsi="David" w:cs="David"/>
          <w:rtl w:val="true"/>
        </w:rPr>
        <w:t>והזכויות שהועברו ליזם במסגרת העסקה</w:t>
      </w:r>
      <w:r>
        <w:rPr>
          <w:rFonts w:cs="David" w:ascii="David" w:hAnsi="David"/>
          <w:rtl w:val="true"/>
        </w:rPr>
        <w:t xml:space="preserve">, </w:t>
      </w:r>
      <w:r>
        <w:rPr>
          <w:rFonts w:ascii="David" w:hAnsi="David" w:cs="David"/>
          <w:rtl w:val="true"/>
        </w:rPr>
        <w:t>מזה</w:t>
      </w:r>
      <w:r>
        <w:rPr>
          <w:rFonts w:cs="David" w:ascii="David" w:hAnsi="David"/>
          <w:rtl w:val="true"/>
        </w:rPr>
        <w:t>.</w:t>
      </w:r>
    </w:p>
    <w:p>
      <w:pPr>
        <w:pStyle w:val="Ruller43"/>
        <w:spacing w:before="240" w:after="240"/>
        <w:ind w:start="510" w:end="0"/>
        <w:jc w:val="both"/>
        <w:rPr/>
      </w:pPr>
      <w:r>
        <w:rPr>
          <w:rFonts w:cs="David" w:ascii="David" w:hAnsi="David"/>
          <w:rtl w:val="true"/>
        </w:rPr>
        <w:t>[</w:t>
      </w:r>
      <w:r>
        <w:rPr>
          <w:rFonts w:ascii="David" w:hAnsi="David" w:cs="David"/>
          <w:rtl w:val="true"/>
        </w:rPr>
        <w:t>הצורך בפיצול טבוע במבנה העסקה עצמה</w:t>
      </w:r>
      <w:r>
        <w:rPr>
          <w:rFonts w:cs="David" w:ascii="David" w:hAnsi="David"/>
          <w:rtl w:val="true"/>
        </w:rPr>
        <w:t xml:space="preserve">. </w:t>
      </w:r>
      <w:r>
        <w:rPr>
          <w:rFonts w:ascii="David" w:hAnsi="David" w:cs="David"/>
          <w:rtl w:val="true"/>
        </w:rPr>
        <w:t>כפי שעולה מההסכמים שהוצגו לנו</w:t>
      </w:r>
      <w:r>
        <w:rPr>
          <w:rFonts w:cs="David" w:ascii="David" w:hAnsi="David"/>
          <w:rtl w:val="true"/>
        </w:rPr>
        <w:t xml:space="preserve">, </w:t>
      </w:r>
      <w:r>
        <w:rPr>
          <w:rFonts w:ascii="David" w:hAnsi="David" w:cs="David"/>
          <w:rtl w:val="true"/>
        </w:rPr>
        <w:t>חלק מזכויותיו של בעל הזכויות להקמת מרחב מוגן אינו עובר ליזם כלל</w:t>
      </w:r>
      <w:r>
        <w:rPr>
          <w:rFonts w:cs="David" w:ascii="David" w:hAnsi="David"/>
          <w:rtl w:val="true"/>
        </w:rPr>
        <w:t xml:space="preserve">, </w:t>
      </w:r>
      <w:r>
        <w:rPr>
          <w:rFonts w:ascii="David" w:hAnsi="David" w:cs="David"/>
          <w:rtl w:val="true"/>
        </w:rPr>
        <w:t>אלא ממומש עבורו בדרך של בנייה – היזם מעמיד את שירותי הבנייה</w:t>
      </w:r>
      <w:r>
        <w:rPr>
          <w:rFonts w:cs="David" w:ascii="David" w:hAnsi="David"/>
          <w:rtl w:val="true"/>
        </w:rPr>
        <w:t xml:space="preserve">, </w:t>
      </w:r>
      <w:r>
        <w:rPr>
          <w:rFonts w:ascii="David" w:hAnsi="David" w:cs="David"/>
          <w:rtl w:val="true"/>
        </w:rPr>
        <w:t>והזכות קורמת עור וגידים במרחב המוגן שבדירת התמורה</w:t>
      </w:r>
      <w:r>
        <w:rPr>
          <w:rFonts w:cs="David" w:ascii="David" w:hAnsi="David"/>
          <w:rtl w:val="true"/>
        </w:rPr>
        <w:t xml:space="preserve">. </w:t>
      </w:r>
      <w:r>
        <w:rPr>
          <w:rFonts w:ascii="David" w:hAnsi="David" w:cs="David"/>
          <w:rtl w:val="true"/>
        </w:rPr>
        <w:t>רק יתרת הזכויות היא שמועברת ליזם כחלק מהעסקה</w:t>
      </w:r>
      <w:r>
        <w:rPr>
          <w:rFonts w:cs="David" w:ascii="David" w:hAnsi="David"/>
          <w:rtl w:val="true"/>
        </w:rPr>
        <w:t xml:space="preserve">. </w:t>
      </w:r>
      <w:r>
        <w:rPr>
          <w:rFonts w:ascii="David" w:hAnsi="David" w:cs="David"/>
          <w:rtl w:val="true"/>
        </w:rPr>
        <w:t>מכאן הצורך להפריד בין הזכויות שבעל הזכויות מממש באמצעות היזם לבין הזכויות שהוא מעביר לו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כלומר</w:t>
      </w:r>
      <w:r>
        <w:rPr>
          <w:rFonts w:cs="David" w:ascii="David" w:hAnsi="David"/>
          <w:rtl w:val="true"/>
        </w:rPr>
        <w:t xml:space="preserve">, </w:t>
      </w:r>
      <w:r>
        <w:rPr>
          <w:rFonts w:ascii="David" w:hAnsi="David" w:cs="David"/>
          <w:rtl w:val="true"/>
        </w:rPr>
        <w:t>אין די בידיעה מהו חלקו של בעל הזכויות במכלול</w:t>
      </w:r>
      <w:r>
        <w:rPr>
          <w:rFonts w:cs="David" w:ascii="David" w:hAnsi="David"/>
          <w:rtl w:val="true"/>
        </w:rPr>
        <w:t xml:space="preserve">; </w:t>
      </w:r>
      <w:r>
        <w:rPr>
          <w:rFonts w:ascii="David" w:hAnsi="David" w:cs="David"/>
          <w:rtl w:val="true"/>
        </w:rPr>
        <w:t>יש לדעת מהו חלקו בזכויות למרחבים מוגנים</w:t>
      </w:r>
      <w:r>
        <w:rPr>
          <w:rFonts w:cs="David" w:ascii="David" w:hAnsi="David"/>
          <w:rtl w:val="true"/>
        </w:rPr>
        <w:t xml:space="preserve">, </w:t>
      </w:r>
      <w:r>
        <w:rPr>
          <w:rFonts w:ascii="David" w:hAnsi="David" w:cs="David"/>
          <w:rtl w:val="true"/>
        </w:rPr>
        <w:t>ומתוך חלק זה – מה נותר בידיו ומה עבר לידי היזם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משימה זו אינה פשוטה כלל ועיקר</w:t>
      </w:r>
      <w:r>
        <w:rPr>
          <w:rFonts w:cs="David" w:ascii="David" w:hAnsi="David"/>
          <w:rtl w:val="true"/>
        </w:rPr>
        <w:t xml:space="preserve">. </w:t>
      </w:r>
      <w:r>
        <w:rPr>
          <w:rFonts w:ascii="David" w:hAnsi="David" w:cs="David"/>
          <w:rtl w:val="true"/>
        </w:rPr>
        <w:t>שהרי כיצד נצבע</w:t>
      </w:r>
      <w:r>
        <w:rPr>
          <w:rFonts w:cs="David" w:ascii="David" w:hAnsi="David"/>
          <w:rtl w:val="true"/>
        </w:rPr>
        <w:t xml:space="preserve">, </w:t>
      </w:r>
      <w:r>
        <w:rPr>
          <w:rFonts w:ascii="David" w:hAnsi="David" w:cs="David"/>
          <w:rtl w:val="true"/>
        </w:rPr>
        <w:t>בדיעבד</w:t>
      </w:r>
      <w:r>
        <w:rPr>
          <w:rFonts w:cs="David" w:ascii="David" w:hAnsi="David"/>
          <w:rtl w:val="true"/>
        </w:rPr>
        <w:t xml:space="preserve">, </w:t>
      </w:r>
      <w:r>
        <w:rPr>
          <w:rFonts w:ascii="David" w:hAnsi="David" w:cs="David"/>
          <w:rtl w:val="true"/>
        </w:rPr>
        <w:t>את זכויות הבנייה למרחבים מוגנים ונאמר אלה הזכויות ש</w:t>
      </w:r>
      <w:r>
        <w:rPr>
          <w:rFonts w:cs="David" w:ascii="David" w:hAnsi="David"/>
          <w:rtl w:val="true"/>
        </w:rPr>
        <w:t>"</w:t>
      </w:r>
      <w:r>
        <w:rPr>
          <w:rFonts w:ascii="David" w:hAnsi="David" w:cs="David"/>
          <w:rtl w:val="true"/>
        </w:rPr>
        <w:t>נמכרו</w:t>
      </w:r>
      <w:r>
        <w:rPr>
          <w:rFonts w:cs="David" w:ascii="David" w:hAnsi="David"/>
          <w:rtl w:val="true"/>
        </w:rPr>
        <w:t xml:space="preserve">" </w:t>
      </w:r>
      <w:r>
        <w:rPr>
          <w:rFonts w:ascii="David" w:hAnsi="David" w:cs="David"/>
          <w:rtl w:val="true"/>
        </w:rPr>
        <w:t>ליזם בידי בעלי הזכויות שהתקשרו עמו לאחר כניסתה של התוכנית לתוקף</w:t>
      </w:r>
      <w:r>
        <w:rPr>
          <w:rFonts w:cs="David" w:ascii="David" w:hAnsi="David"/>
          <w:rtl w:val="true"/>
        </w:rPr>
        <w:t xml:space="preserve">, </w:t>
      </w:r>
      <w:r>
        <w:rPr>
          <w:rFonts w:ascii="David" w:hAnsi="David" w:cs="David"/>
          <w:rtl w:val="true"/>
        </w:rPr>
        <w:t>ואלה הזכויות שנותרו בידיהם ועתידות לקרום עור וגידים במרחבים המוגנים שבדירות התמורה</w:t>
      </w:r>
      <w:r>
        <w:rPr>
          <w:rFonts w:cs="David" w:ascii="David" w:hAnsi="David"/>
          <w:rtl w:val="true"/>
        </w:rPr>
        <w:t xml:space="preserve">? </w:t>
      </w:r>
      <w:r>
        <w:rPr>
          <w:rFonts w:ascii="David" w:hAnsi="David" w:cs="David"/>
          <w:rtl w:val="true"/>
        </w:rPr>
        <w:t>על הנייר ניתן למתוח קו מפריד בין השתיים</w:t>
      </w:r>
      <w:r>
        <w:rPr>
          <w:rFonts w:cs="David" w:ascii="David" w:hAnsi="David"/>
          <w:rtl w:val="true"/>
        </w:rPr>
        <w:t xml:space="preserve">; </w:t>
      </w:r>
      <w:r>
        <w:rPr>
          <w:rFonts w:ascii="David" w:hAnsi="David" w:cs="David"/>
          <w:rtl w:val="true"/>
        </w:rPr>
        <w:t>במציאות</w:t>
      </w:r>
      <w:r>
        <w:rPr>
          <w:rFonts w:cs="David" w:ascii="David" w:hAnsi="David"/>
          <w:rtl w:val="true"/>
        </w:rPr>
        <w:t xml:space="preserve">, </w:t>
      </w:r>
      <w:r>
        <w:rPr>
          <w:rFonts w:ascii="David" w:hAnsi="David" w:cs="David"/>
          <w:rtl w:val="true"/>
        </w:rPr>
        <w:t>הקו מיטשטש עד מאוד</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 xml:space="preserve">במקרה שלפנינו לא הונחה תשתית עובדתית המאפשרת </w:t>
      </w:r>
      <w:r>
        <w:rPr>
          <w:rFonts w:cs="David" w:ascii="David" w:hAnsi="David"/>
          <w:rtl w:val="true"/>
        </w:rPr>
        <w:t>"</w:t>
      </w:r>
      <w:r>
        <w:rPr>
          <w:rFonts w:ascii="David" w:hAnsi="David" w:cs="David"/>
          <w:rtl w:val="true"/>
        </w:rPr>
        <w:t>לצבוע</w:t>
      </w:r>
      <w:r>
        <w:rPr>
          <w:rFonts w:cs="David" w:ascii="David" w:hAnsi="David"/>
          <w:rtl w:val="true"/>
        </w:rPr>
        <w:t xml:space="preserve">" </w:t>
      </w:r>
      <w:r>
        <w:rPr>
          <w:rFonts w:ascii="David" w:hAnsi="David" w:cs="David"/>
          <w:rtl w:val="true"/>
        </w:rPr>
        <w:t>חלק מסוים מזכויות הבנייה למרחבים מוגנים ולייחסו לבעלי הזכויות שהתקשרו בהסכמי מכר לאחר כניסתה של התוכנית לתוקף</w:t>
      </w:r>
      <w:r>
        <w:rPr>
          <w:rFonts w:cs="David" w:ascii="David" w:hAnsi="David"/>
          <w:rtl w:val="true"/>
        </w:rPr>
        <w:t xml:space="preserve">. </w:t>
      </w:r>
      <w:r>
        <w:rPr>
          <w:rFonts w:ascii="David" w:hAnsi="David" w:cs="David"/>
          <w:rtl w:val="true"/>
        </w:rPr>
        <w:t>ממילא</w:t>
      </w:r>
      <w:r>
        <w:rPr>
          <w:rFonts w:cs="David" w:ascii="David" w:hAnsi="David"/>
          <w:rtl w:val="true"/>
        </w:rPr>
        <w:t xml:space="preserve">, </w:t>
      </w:r>
      <w:r>
        <w:rPr>
          <w:rFonts w:ascii="David" w:hAnsi="David" w:cs="David"/>
          <w:rtl w:val="true"/>
        </w:rPr>
        <w:t>לא ניתן לדעת אילו מן הזכויות עברו ליזם ואילו מהן נותרו</w:t>
      </w:r>
      <w:r>
        <w:rPr>
          <w:rFonts w:cs="David" w:ascii="David" w:hAnsi="David"/>
          <w:rtl w:val="true"/>
        </w:rPr>
        <w:t xml:space="preserve">, </w:t>
      </w:r>
      <w:r>
        <w:rPr>
          <w:rFonts w:ascii="David" w:hAnsi="David" w:cs="David"/>
          <w:rtl w:val="true"/>
        </w:rPr>
        <w:t>מבחינה כלכלית</w:t>
      </w:r>
      <w:r>
        <w:rPr>
          <w:rFonts w:cs="David" w:ascii="David" w:hAnsi="David"/>
          <w:rtl w:val="true"/>
        </w:rPr>
        <w:t xml:space="preserve">, </w:t>
      </w:r>
      <w:r>
        <w:rPr>
          <w:rFonts w:ascii="David" w:hAnsi="David" w:cs="David"/>
          <w:rtl w:val="true"/>
        </w:rPr>
        <w:t>בידי בעלי הזכויות וימומשו בדירות התמורה שיקבלו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למעשה</w:t>
      </w:r>
      <w:r>
        <w:rPr>
          <w:rFonts w:cs="David" w:ascii="David" w:hAnsi="David"/>
          <w:rtl w:val="true"/>
        </w:rPr>
        <w:t xml:space="preserve">, </w:t>
      </w:r>
      <w:r>
        <w:rPr>
          <w:rFonts w:ascii="David" w:hAnsi="David" w:cs="David"/>
          <w:rtl w:val="true"/>
        </w:rPr>
        <w:t>הסכמי המכר אינם פורטים את העסקה לפרוסות של זכויות בנייה</w:t>
      </w:r>
      <w:r>
        <w:rPr>
          <w:rFonts w:cs="David" w:ascii="David" w:hAnsi="David"/>
          <w:rtl w:val="true"/>
        </w:rPr>
        <w:t xml:space="preserve">. </w:t>
      </w:r>
      <w:r>
        <w:rPr>
          <w:rFonts w:ascii="David" w:hAnsi="David" w:cs="David"/>
          <w:rtl w:val="true"/>
        </w:rPr>
        <w:t>הם מגדירים</w:t>
      </w:r>
      <w:r>
        <w:rPr>
          <w:rFonts w:cs="David" w:ascii="David" w:hAnsi="David"/>
          <w:rtl w:val="true"/>
        </w:rPr>
        <w:t xml:space="preserve">, </w:t>
      </w:r>
      <w:r>
        <w:rPr>
          <w:rFonts w:ascii="David" w:hAnsi="David" w:cs="David"/>
          <w:rtl w:val="true"/>
        </w:rPr>
        <w:t>בעיקרם</w:t>
      </w:r>
      <w:r>
        <w:rPr>
          <w:rFonts w:cs="David" w:ascii="David" w:hAnsi="David"/>
          <w:rtl w:val="true"/>
        </w:rPr>
        <w:t xml:space="preserve">, </w:t>
      </w:r>
      <w:r>
        <w:rPr>
          <w:rFonts w:ascii="David" w:hAnsi="David" w:cs="David"/>
          <w:rtl w:val="true"/>
        </w:rPr>
        <w:t>את דירות התמורה שיוקנו לבעלי הזכויות</w:t>
      </w:r>
      <w:r>
        <w:rPr>
          <w:rFonts w:cs="David" w:ascii="David" w:hAnsi="David"/>
          <w:rtl w:val="true"/>
        </w:rPr>
        <w:t xml:space="preserve">, </w:t>
      </w:r>
      <w:r>
        <w:rPr>
          <w:rFonts w:ascii="David" w:hAnsi="David" w:cs="David"/>
          <w:rtl w:val="true"/>
        </w:rPr>
        <w:t>אך אינם מייחדים ואינם מכמתים את זכויות הבנייה המועברות ליזם</w:t>
      </w:r>
      <w:r>
        <w:rPr>
          <w:rFonts w:cs="David" w:ascii="David" w:hAnsi="David"/>
          <w:rtl w:val="true"/>
        </w:rPr>
        <w:t xml:space="preserve">, </w:t>
      </w:r>
      <w:r>
        <w:rPr>
          <w:rFonts w:ascii="David" w:hAnsi="David" w:cs="David"/>
          <w:rtl w:val="true"/>
        </w:rPr>
        <w:t>וממילא אינם קובעים מהו החלק מתוכן המיוחס להקמת מרחבים מוגנים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ומכאן הקושי במקרה שלפנינו</w:t>
      </w:r>
      <w:r>
        <w:rPr>
          <w:rFonts w:cs="David" w:ascii="David" w:hAnsi="David"/>
          <w:rtl w:val="true"/>
        </w:rPr>
        <w:t xml:space="preserve">. </w:t>
      </w:r>
      <w:r>
        <w:rPr>
          <w:rFonts w:ascii="David" w:hAnsi="David" w:cs="David"/>
          <w:rtl w:val="true"/>
        </w:rPr>
        <w:t xml:space="preserve">כדי ליישם את </w:t>
      </w:r>
      <w:r>
        <w:rPr>
          <w:rFonts w:ascii="Miriam" w:hAnsi="Miriam" w:cs="Miriam"/>
          <w:rtl w:val="true"/>
        </w:rPr>
        <w:t>עניין בקר</w:t>
      </w:r>
      <w:r>
        <w:rPr>
          <w:rFonts w:ascii="David" w:hAnsi="David" w:cs="David"/>
          <w:rtl w:val="true"/>
        </w:rPr>
        <w:t xml:space="preserve"> נדרש לקבוע מהו היקף זכויות הבנייה למרחבים מוגנים שהועברו ליזם לאחר כניסתה של התוכנית לתוקף</w:t>
      </w:r>
      <w:r>
        <w:rPr>
          <w:rFonts w:cs="David" w:ascii="David" w:hAnsi="David"/>
          <w:rtl w:val="true"/>
        </w:rPr>
        <w:t xml:space="preserve">, </w:t>
      </w:r>
      <w:r>
        <w:rPr>
          <w:rFonts w:ascii="David" w:hAnsi="David" w:cs="David"/>
          <w:rtl w:val="true"/>
        </w:rPr>
        <w:t>אלא שהחומר שלפנינו אינו מספק אמת מידה המאפשרת לעשות כן</w:t>
      </w:r>
      <w:r>
        <w:rPr>
          <w:rFonts w:cs="David" w:ascii="David" w:hAnsi="David"/>
          <w:rtl w:val="true"/>
        </w:rPr>
        <w:t xml:space="preserve">. </w:t>
      </w:r>
      <w:r>
        <w:rPr>
          <w:rFonts w:ascii="David" w:hAnsi="David" w:cs="David"/>
          <w:rtl w:val="true"/>
        </w:rPr>
        <w:t>אף אחד מהצדדים לא הציע מתודולוגיה שתאפשר להתיר את הסבך</w:t>
      </w:r>
      <w:r>
        <w:rPr>
          <w:rFonts w:cs="David" w:ascii="David" w:hAnsi="David"/>
          <w:rtl w:val="true"/>
        </w:rPr>
        <w:t xml:space="preserve">, </w:t>
      </w:r>
      <w:r>
        <w:rPr>
          <w:rFonts w:ascii="David" w:hAnsi="David" w:cs="David"/>
          <w:rtl w:val="true"/>
        </w:rPr>
        <w:t>וספק אם ניתן לגזור מתודולוגיה כזו ממערכת ההסכמים שלפנינו מבלי להידרש להנחות שאינן מעוגנות בה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בנסיבות אלה</w:t>
      </w:r>
      <w:r>
        <w:rPr>
          <w:rFonts w:cs="David" w:ascii="David" w:hAnsi="David"/>
          <w:rtl w:val="true"/>
        </w:rPr>
        <w:t xml:space="preserve">, </w:t>
      </w:r>
      <w:r>
        <w:rPr>
          <w:rFonts w:ascii="David" w:hAnsi="David" w:cs="David"/>
          <w:rtl w:val="true"/>
        </w:rPr>
        <w:t>אין מנוס מהשבת הסוגיה לבחינה נוספת לפני השמאית המכריעה</w:t>
      </w:r>
      <w:r>
        <w:rPr>
          <w:rFonts w:cs="David" w:ascii="David" w:hAnsi="David"/>
          <w:rtl w:val="true"/>
        </w:rPr>
        <w:t xml:space="preserve">, </w:t>
      </w:r>
      <w:r>
        <w:rPr>
          <w:rFonts w:ascii="David" w:hAnsi="David" w:cs="David"/>
          <w:rtl w:val="true"/>
        </w:rPr>
        <w:t>בהתאם להנחיות שיפורטו בפרק המסכם</w:t>
      </w:r>
      <w:r>
        <w:rPr>
          <w:rFonts w:cs="David" w:ascii="David" w:hAnsi="David"/>
          <w:rtl w:val="true"/>
        </w:rPr>
        <w:t>.</w:t>
      </w:r>
    </w:p>
    <w:p>
      <w:pPr>
        <w:pStyle w:val="Heading3"/>
        <w:suppressLineNumbers/>
        <w:spacing w:before="240" w:after="240"/>
        <w:ind w:firstLine="510" w:end="0"/>
        <w:jc w:val="start"/>
        <w:rPr/>
      </w:pPr>
      <w:r>
        <w:rPr>
          <w:rtl w:val="true"/>
        </w:rPr>
        <w:t>משקלן</w:t>
      </w:r>
      <w:r>
        <w:rPr>
          <w:rFonts w:eastAsia="Cambria" w:cs="Cambria"/>
          <w:rtl w:val="true"/>
        </w:rPr>
        <w:t xml:space="preserve"> </w:t>
      </w:r>
      <w:r>
        <w:rPr>
          <w:rtl w:val="true"/>
        </w:rPr>
        <w:t>של</w:t>
      </w:r>
      <w:r>
        <w:rPr>
          <w:rFonts w:eastAsia="Cambria" w:cs="Cambria"/>
          <w:rtl w:val="true"/>
        </w:rPr>
        <w:t xml:space="preserve"> </w:t>
      </w:r>
      <w:r>
        <w:rPr>
          <w:rtl w:val="true"/>
        </w:rPr>
        <w:t>עסקאות</w:t>
      </w:r>
      <w:r>
        <w:rPr>
          <w:rFonts w:eastAsia="Cambria" w:cs="Cambria"/>
          <w:rtl w:val="true"/>
        </w:rPr>
        <w:t xml:space="preserve"> </w:t>
      </w:r>
      <w:r>
        <w:rPr>
          <w:rtl w:val="true"/>
        </w:rPr>
        <w:t>השוואה</w:t>
      </w:r>
      <w:r>
        <w:rPr>
          <w:rFonts w:eastAsia="Cambria" w:cs="Cambria"/>
          <w:rtl w:val="true"/>
        </w:rPr>
        <w:t xml:space="preserve"> </w:t>
      </w:r>
    </w:p>
    <w:p>
      <w:pPr>
        <w:pStyle w:val="Ruller43"/>
        <w:numPr>
          <w:ilvl w:val="0"/>
          <w:numId w:val="14"/>
        </w:numPr>
        <w:spacing w:before="240" w:after="240"/>
        <w:ind w:hanging="510" w:start="510" w:end="0"/>
        <w:jc w:val="both"/>
        <w:rPr>
          <w:rFonts w:ascii="David" w:hAnsi="David" w:cs="David"/>
        </w:rPr>
      </w:pPr>
      <w:r>
        <w:rPr>
          <w:rFonts w:ascii="Miriam" w:hAnsi="Miriam" w:cs="Miriam"/>
          <w:rtl w:val="true"/>
        </w:rPr>
        <w:t xml:space="preserve">בעניין גינאדי </w:t>
      </w:r>
      <w:r>
        <w:rPr>
          <w:rFonts w:ascii="David" w:hAnsi="David" w:cs="David"/>
          <w:rtl w:val="true"/>
        </w:rPr>
        <w:t>עמדנו על כך שבנסיבות מסוימות יש לבכר את הגישה הכלכלית</w:t>
      </w:r>
      <w:r>
        <w:rPr>
          <w:rFonts w:cs="David" w:ascii="David" w:hAnsi="David"/>
          <w:rtl w:val="true"/>
        </w:rPr>
        <w:t xml:space="preserve">, </w:t>
      </w:r>
      <w:r>
        <w:rPr>
          <w:rFonts w:ascii="David" w:hAnsi="David" w:cs="David"/>
          <w:rtl w:val="true"/>
        </w:rPr>
        <w:t xml:space="preserve">כמשמעותה </w:t>
      </w:r>
      <w:r>
        <w:rPr>
          <w:rFonts w:ascii="Miriam" w:hAnsi="Miriam" w:cs="Miriam"/>
          <w:rtl w:val="true"/>
        </w:rPr>
        <w:t>בעניין נועה לב</w:t>
      </w:r>
      <w:r>
        <w:rPr>
          <w:rFonts w:cs="David" w:ascii="David" w:hAnsi="David"/>
          <w:rtl w:val="true"/>
        </w:rPr>
        <w:t xml:space="preserve">. </w:t>
      </w:r>
      <w:r>
        <w:rPr>
          <w:rFonts w:ascii="David" w:hAnsi="David" w:cs="David"/>
          <w:rtl w:val="true"/>
        </w:rPr>
        <w:t>הדברים יפים</w:t>
      </w:r>
      <w:r>
        <w:rPr>
          <w:rFonts w:cs="David" w:ascii="David" w:hAnsi="David"/>
          <w:rtl w:val="true"/>
        </w:rPr>
        <w:t xml:space="preserve">, </w:t>
      </w:r>
      <w:r>
        <w:rPr>
          <w:rFonts w:ascii="David" w:hAnsi="David" w:cs="David"/>
          <w:rtl w:val="true"/>
        </w:rPr>
        <w:t>בשינויים המחויבים</w:t>
      </w:r>
      <w:r>
        <w:rPr>
          <w:rFonts w:cs="David" w:ascii="David" w:hAnsi="David"/>
          <w:rtl w:val="true"/>
        </w:rPr>
        <w:t xml:space="preserve">, </w:t>
      </w:r>
      <w:r>
        <w:rPr>
          <w:rFonts w:ascii="David" w:hAnsi="David" w:cs="David"/>
          <w:rtl w:val="true"/>
        </w:rPr>
        <w:t>גם לענייננו</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השמאית המכריעה חישבה את שיעור ההשבחה במימוש מלא של התוכנית על פי הגישה הכלכלית</w:t>
      </w:r>
      <w:r>
        <w:rPr>
          <w:rFonts w:cs="David" w:ascii="David" w:hAnsi="David"/>
          <w:rtl w:val="true"/>
        </w:rPr>
        <w:t xml:space="preserve">, </w:t>
      </w:r>
      <w:r>
        <w:rPr>
          <w:rFonts w:ascii="David" w:hAnsi="David" w:cs="David"/>
          <w:rtl w:val="true"/>
        </w:rPr>
        <w:t>בדומה לדרך שבה הילכו הצדדים בשומות מטעמם</w:t>
      </w:r>
      <w:r>
        <w:rPr>
          <w:rFonts w:cs="David" w:ascii="David" w:hAnsi="David"/>
          <w:rtl w:val="true"/>
        </w:rPr>
        <w:t xml:space="preserve">. </w:t>
      </w:r>
      <w:r>
        <w:rPr>
          <w:rFonts w:ascii="David" w:hAnsi="David" w:cs="David"/>
          <w:rtl w:val="true"/>
        </w:rPr>
        <w:t>לצורך כך</w:t>
      </w:r>
      <w:r>
        <w:rPr>
          <w:rFonts w:cs="David" w:ascii="David" w:hAnsi="David"/>
          <w:rtl w:val="true"/>
        </w:rPr>
        <w:t xml:space="preserve">, </w:t>
      </w:r>
      <w:r>
        <w:rPr>
          <w:rFonts w:ascii="David" w:hAnsi="David" w:cs="David"/>
          <w:rtl w:val="true"/>
        </w:rPr>
        <w:t>שוויו של מ</w:t>
      </w:r>
      <w:r>
        <w:rPr>
          <w:rFonts w:cs="David" w:ascii="David" w:hAnsi="David"/>
          <w:rtl w:val="true"/>
        </w:rPr>
        <w:t>"</w:t>
      </w:r>
      <w:r>
        <w:rPr>
          <w:rFonts w:ascii="David" w:hAnsi="David" w:cs="David"/>
          <w:rtl w:val="true"/>
        </w:rPr>
        <w:t xml:space="preserve">ר בנוי נקבע בערך של </w:t>
      </w:r>
      <w:r>
        <w:rPr>
          <w:rFonts w:cs="David" w:ascii="David" w:hAnsi="David"/>
        </w:rPr>
        <w:t>20,000</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w:t>
      </w:r>
      <w:r>
        <w:rPr>
          <w:rFonts w:cs="David" w:ascii="David" w:hAnsi="David"/>
          <w:rtl w:val="true"/>
        </w:rPr>
        <w:t xml:space="preserve">, </w:t>
      </w:r>
      <w:r>
        <w:rPr>
          <w:rFonts w:ascii="David" w:hAnsi="David" w:cs="David"/>
          <w:rtl w:val="true"/>
        </w:rPr>
        <w:t>וזאת על יסוד ממוצע בין השווי שנקבע בשומות הוועדה המקומית לבין השווי שנקבע בשומות דמרי</w:t>
      </w:r>
      <w:r>
        <w:rPr>
          <w:rFonts w:cs="David" w:ascii="David" w:hAnsi="David"/>
          <w:rtl w:val="true"/>
        </w:rPr>
        <w:t xml:space="preserve">. </w:t>
      </w:r>
      <w:r>
        <w:rPr>
          <w:rFonts w:ascii="David" w:hAnsi="David" w:cs="David"/>
          <w:rtl w:val="true"/>
        </w:rPr>
        <w:t>שווי זה נסמך על עשרות עסקאות במיזמים בעלי מאפיינים בני</w:t>
      </w:r>
      <w:r>
        <w:rPr>
          <w:rFonts w:cs="David" w:ascii="David" w:hAnsi="David"/>
          <w:rtl w:val="true"/>
        </w:rPr>
        <w:t>-</w:t>
      </w:r>
      <w:r>
        <w:rPr>
          <w:rFonts w:ascii="David" w:hAnsi="David" w:cs="David"/>
          <w:rtl w:val="true"/>
        </w:rPr>
        <w:t>השוואה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בהליכים שלפנינו טוענת הוועדה המקומית כי התוצאה שאליה הגיעה השמאית המכריעה אינה נותנת ביטוי לעסקאות המכר שנערכו במתחם</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 xml:space="preserve">מעסקאות אלה נגזר שווי של </w:t>
      </w:r>
      <w:r>
        <w:rPr>
          <w:rFonts w:cs="David" w:ascii="David" w:hAnsi="David"/>
        </w:rPr>
        <w:t>27,637</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 למ</w:t>
      </w:r>
      <w:r>
        <w:rPr>
          <w:rFonts w:cs="David" w:ascii="David" w:hAnsi="David"/>
          <w:rtl w:val="true"/>
        </w:rPr>
        <w:t>"</w:t>
      </w:r>
      <w:r>
        <w:rPr>
          <w:rFonts w:ascii="David" w:hAnsi="David" w:cs="David"/>
          <w:rtl w:val="true"/>
        </w:rPr>
        <w:t>ר בנוי</w:t>
      </w:r>
      <w:r>
        <w:rPr>
          <w:rFonts w:cs="David" w:ascii="David" w:hAnsi="David"/>
          <w:rtl w:val="true"/>
        </w:rPr>
        <w:t xml:space="preserve">, </w:t>
      </w:r>
      <w:r>
        <w:rPr>
          <w:rFonts w:ascii="David" w:hAnsi="David" w:cs="David"/>
          <w:rtl w:val="true"/>
        </w:rPr>
        <w:t>נכון למועד מימוש התוכנית</w:t>
      </w:r>
      <w:r>
        <w:rPr>
          <w:rFonts w:cs="David" w:ascii="David" w:hAnsi="David"/>
          <w:rtl w:val="true"/>
        </w:rPr>
        <w:t xml:space="preserve">, </w:t>
      </w:r>
      <w:r>
        <w:rPr>
          <w:rFonts w:ascii="David" w:hAnsi="David" w:cs="David"/>
          <w:rtl w:val="true"/>
        </w:rPr>
        <w:t>שווי הגבוה בכ</w:t>
      </w:r>
      <w:r>
        <w:rPr>
          <w:rFonts w:cs="David" w:ascii="David" w:hAnsi="David"/>
          <w:rtl w:val="true"/>
        </w:rPr>
        <w:t>-</w:t>
      </w:r>
      <w:r>
        <w:rPr>
          <w:rFonts w:cs="David" w:ascii="David" w:hAnsi="David"/>
        </w:rPr>
        <w:t>12%</w:t>
      </w:r>
      <w:r>
        <w:rPr>
          <w:rFonts w:cs="David" w:ascii="David" w:hAnsi="David"/>
          <w:rtl w:val="true"/>
        </w:rPr>
        <w:t xml:space="preserve"> </w:t>
      </w:r>
      <w:r>
        <w:rPr>
          <w:rFonts w:ascii="David" w:hAnsi="David" w:cs="David"/>
          <w:rtl w:val="true"/>
        </w:rPr>
        <w:t>אף מזה שנקבע בשומות שנערכו מטעמה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דין הטענה להידחות</w:t>
      </w:r>
      <w:r>
        <w:rPr>
          <w:rFonts w:cs="David" w:ascii="David" w:hAnsi="David"/>
          <w:rtl w:val="true"/>
        </w:rPr>
        <w:t xml:space="preserve">. </w:t>
      </w:r>
      <w:r>
        <w:rPr>
          <w:rFonts w:ascii="David" w:hAnsi="David" w:cs="David"/>
          <w:rtl w:val="true"/>
        </w:rPr>
        <w:t>בנסיבות העניין</w:t>
      </w:r>
      <w:r>
        <w:rPr>
          <w:rFonts w:cs="David" w:ascii="David" w:hAnsi="David"/>
          <w:rtl w:val="true"/>
        </w:rPr>
        <w:t xml:space="preserve">, </w:t>
      </w:r>
      <w:r>
        <w:rPr>
          <w:rFonts w:ascii="David" w:hAnsi="David" w:cs="David"/>
          <w:rtl w:val="true"/>
        </w:rPr>
        <w:t>אין הצדקה להעדיף שתי עסקאות בודדות שנערכו במתחם על פני מסד הנתונים הרחב שעמד לפני השמאית המכריעה</w:t>
      </w:r>
      <w:r>
        <w:rPr>
          <w:rFonts w:cs="David" w:ascii="David" w:hAnsi="David"/>
          <w:rtl w:val="true"/>
        </w:rPr>
        <w:t xml:space="preserve">, </w:t>
      </w:r>
      <w:r>
        <w:rPr>
          <w:rFonts w:ascii="David" w:hAnsi="David" w:cs="David"/>
          <w:rtl w:val="true"/>
        </w:rPr>
        <w:t>הכולל עשרות עסקאות בנכסים בעלי מאפיינים בני</w:t>
      </w:r>
      <w:r>
        <w:rPr>
          <w:rFonts w:cs="David" w:ascii="David" w:hAnsi="David"/>
          <w:rtl w:val="true"/>
        </w:rPr>
        <w:t>-</w:t>
      </w:r>
      <w:r>
        <w:rPr>
          <w:rFonts w:ascii="David" w:hAnsi="David" w:cs="David"/>
          <w:rtl w:val="true"/>
        </w:rPr>
        <w:t>השוואה</w:t>
      </w:r>
      <w:r>
        <w:rPr>
          <w:rFonts w:cs="David" w:ascii="David" w:hAnsi="David"/>
          <w:rtl w:val="true"/>
        </w:rPr>
        <w:t xml:space="preserve">. </w:t>
      </w:r>
      <w:r>
        <w:rPr>
          <w:rFonts w:ascii="David" w:hAnsi="David" w:cs="David"/>
          <w:rtl w:val="true"/>
        </w:rPr>
        <w:t>העדפה כאמור אינה מניחה את הדעת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בפסק הדין ב</w:t>
      </w:r>
      <w:hyperlink r:id="rId26">
        <w:r>
          <w:rPr>
            <w:rStyle w:val="Hyperlink"/>
            <w:rFonts w:ascii="David" w:hAnsi="David" w:cs="David"/>
            <w:color w:val="0000FF"/>
            <w:u w:val="single"/>
            <w:rtl w:val="true"/>
          </w:rPr>
          <w:t>בר</w:t>
        </w:r>
        <w:r>
          <w:rPr>
            <w:rStyle w:val="Hyperlink"/>
            <w:rFonts w:cs="David" w:ascii="David" w:hAnsi="David"/>
            <w:color w:val="0000FF"/>
            <w:u w:val="single"/>
            <w:rtl w:val="true"/>
          </w:rPr>
          <w:t>"</w:t>
        </w:r>
        <w:r>
          <w:rPr>
            <w:rStyle w:val="Hyperlink"/>
            <w:rFonts w:ascii="David" w:hAnsi="David" w:cs="David"/>
            <w:color w:val="0000FF"/>
            <w:u w:val="single"/>
            <w:rtl w:val="true"/>
          </w:rPr>
          <w:t xml:space="preserve">ם </w:t>
        </w:r>
        <w:r>
          <w:rPr>
            <w:rStyle w:val="Hyperlink"/>
            <w:rFonts w:cs="David" w:ascii="David" w:hAnsi="David"/>
            <w:color w:val="0000FF"/>
            <w:u w:val="single"/>
          </w:rPr>
          <w:t>10212/16</w:t>
        </w:r>
      </w:hyperlink>
      <w:r>
        <w:rPr>
          <w:rFonts w:cs="David" w:ascii="David" w:hAnsi="David"/>
          <w:rtl w:val="true"/>
        </w:rPr>
        <w:t xml:space="preserve"> </w:t>
      </w:r>
      <w:r>
        <w:rPr>
          <w:rFonts w:ascii="Miriam" w:hAnsi="Miriam" w:cs="Miriam"/>
          <w:rtl w:val="true"/>
        </w:rPr>
        <w:t xml:space="preserve">דלי דליה ועוד </w:t>
      </w:r>
      <w:r>
        <w:rPr>
          <w:rFonts w:cs="Miriam" w:ascii="Miriam" w:hAnsi="Miriam"/>
        </w:rPr>
        <w:t>333</w:t>
      </w:r>
      <w:r>
        <w:rPr>
          <w:rFonts w:cs="Miriam" w:ascii="Miriam" w:hAnsi="Miriam"/>
          <w:rtl w:val="true"/>
        </w:rPr>
        <w:t xml:space="preserve"> </w:t>
      </w:r>
      <w:r>
        <w:rPr>
          <w:rFonts w:ascii="Miriam" w:hAnsi="Miriam" w:cs="Miriam"/>
          <w:rtl w:val="true"/>
        </w:rPr>
        <w:t>אח</w:t>
      </w:r>
      <w:r>
        <w:rPr>
          <w:rFonts w:cs="Miriam" w:ascii="Miriam" w:hAnsi="Miriam"/>
          <w:rtl w:val="true"/>
        </w:rPr>
        <w:t xml:space="preserve">' </w:t>
      </w:r>
      <w:r>
        <w:rPr>
          <w:rFonts w:ascii="Miriam" w:hAnsi="Miriam" w:cs="Miriam"/>
          <w:rtl w:val="true"/>
        </w:rPr>
        <w:t>נ</w:t>
      </w:r>
      <w:r>
        <w:rPr>
          <w:rFonts w:cs="Miriam" w:ascii="Miriam" w:hAnsi="Miriam"/>
          <w:rtl w:val="true"/>
        </w:rPr>
        <w:t xml:space="preserve">' </w:t>
      </w:r>
      <w:r>
        <w:rPr>
          <w:rFonts w:ascii="Miriam" w:hAnsi="Miriam" w:cs="Miriam"/>
          <w:rtl w:val="true"/>
        </w:rPr>
        <w:t>הוועדה המקומית לתכנון ולבנייה הרצליה</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1.4.2020</w:t>
      </w:r>
      <w:r>
        <w:rPr>
          <w:rFonts w:cs="David" w:ascii="David" w:hAnsi="David"/>
          <w:rtl w:val="true"/>
        </w:rPr>
        <w:t xml:space="preserve">), </w:t>
      </w:r>
      <w:r>
        <w:rPr>
          <w:rFonts w:ascii="David" w:hAnsi="David" w:cs="David"/>
          <w:rtl w:val="true"/>
        </w:rPr>
        <w:t>נקבע כי הערכת שוויים של מקרקעין נדרשת להישען על אמות מידה אובייקטיביות</w:t>
      </w:r>
      <w:r>
        <w:rPr>
          <w:rFonts w:cs="David" w:ascii="David" w:hAnsi="David"/>
          <w:rtl w:val="true"/>
        </w:rPr>
        <w:t xml:space="preserve">, </w:t>
      </w:r>
      <w:r>
        <w:rPr>
          <w:rFonts w:ascii="David" w:hAnsi="David" w:cs="David"/>
          <w:rtl w:val="true"/>
        </w:rPr>
        <w:t>להבדיל מהמחיר הסובייקטיבי שאדם פלוני נכון לשלם בעד נכס מסוים</w:t>
      </w:r>
      <w:r>
        <w:rPr>
          <w:rFonts w:cs="David" w:ascii="David" w:hAnsi="David"/>
          <w:rtl w:val="true"/>
        </w:rPr>
        <w:t xml:space="preserve">. </w:t>
      </w:r>
      <w:r>
        <w:rPr>
          <w:rFonts w:ascii="David" w:hAnsi="David" w:cs="David"/>
          <w:rtl w:val="true"/>
        </w:rPr>
        <w:t>מלאכת השומה מבקשת להתחקות</w:t>
      </w:r>
      <w:r>
        <w:rPr>
          <w:rFonts w:cs="David" w:ascii="David" w:hAnsi="David"/>
          <w:rtl w:val="true"/>
        </w:rPr>
        <w:t xml:space="preserve">, </w:t>
      </w:r>
      <w:r>
        <w:rPr>
          <w:rFonts w:ascii="David" w:hAnsi="David" w:cs="David"/>
          <w:rtl w:val="true"/>
        </w:rPr>
        <w:t>ככל הניתן</w:t>
      </w:r>
      <w:r>
        <w:rPr>
          <w:rFonts w:cs="David" w:ascii="David" w:hAnsi="David"/>
          <w:rtl w:val="true"/>
        </w:rPr>
        <w:t xml:space="preserve">, </w:t>
      </w:r>
      <w:r>
        <w:rPr>
          <w:rFonts w:ascii="David" w:hAnsi="David" w:cs="David"/>
          <w:rtl w:val="true"/>
        </w:rPr>
        <w:t>אחר שווי אובייקטיבי שיהא מקובל על ציבור בלתי מסוים של קונים ומוכרים</w:t>
      </w:r>
      <w:r>
        <w:rPr>
          <w:rFonts w:cs="David" w:ascii="David" w:hAnsi="David"/>
          <w:rtl w:val="true"/>
        </w:rPr>
        <w:t xml:space="preserve">. </w:t>
      </w:r>
      <w:r>
        <w:rPr>
          <w:rFonts w:ascii="David" w:hAnsi="David" w:cs="David"/>
          <w:rtl w:val="true"/>
        </w:rPr>
        <w:t>ככל שלהערכת השווי מוחדרות הערכות כלליות</w:t>
      </w:r>
      <w:r>
        <w:rPr>
          <w:rFonts w:cs="David" w:ascii="David" w:hAnsi="David"/>
          <w:rtl w:val="true"/>
        </w:rPr>
        <w:t xml:space="preserve">, </w:t>
      </w:r>
      <w:r>
        <w:rPr>
          <w:rFonts w:ascii="David" w:hAnsi="David" w:cs="David"/>
          <w:rtl w:val="true"/>
        </w:rPr>
        <w:t>ואף ספקולטיביות</w:t>
      </w:r>
      <w:r>
        <w:rPr>
          <w:rFonts w:cs="David" w:ascii="David" w:hAnsi="David"/>
          <w:rtl w:val="true"/>
        </w:rPr>
        <w:t xml:space="preserve">, </w:t>
      </w:r>
      <w:r>
        <w:rPr>
          <w:rFonts w:ascii="David" w:hAnsi="David" w:cs="David"/>
          <w:rtl w:val="true"/>
        </w:rPr>
        <w:t>בדבר שינוי תכנוני עתידי</w:t>
      </w:r>
      <w:r>
        <w:rPr>
          <w:rFonts w:cs="David" w:ascii="David" w:hAnsi="David"/>
          <w:rtl w:val="true"/>
        </w:rPr>
        <w:t xml:space="preserve">, </w:t>
      </w:r>
      <w:r>
        <w:rPr>
          <w:rFonts w:ascii="David" w:hAnsi="David" w:cs="David"/>
          <w:rtl w:val="true"/>
        </w:rPr>
        <w:t>כך גובר הממד הסובייקטיבי שבה</w:t>
      </w:r>
      <w:r>
        <w:rPr>
          <w:rFonts w:cs="David" w:ascii="David" w:hAnsi="David"/>
          <w:rtl w:val="true"/>
        </w:rPr>
        <w:t xml:space="preserve">, </w:t>
      </w:r>
      <w:r>
        <w:rPr>
          <w:rFonts w:ascii="David" w:hAnsi="David" w:cs="David"/>
          <w:rtl w:val="true"/>
        </w:rPr>
        <w:t xml:space="preserve">שכן הערכות מעין אלה מצויות מטבען בתחום של ציפיות ונטילת סיכונים </w:t>
      </w:r>
      <w:r>
        <w:rPr>
          <w:rFonts w:cs="David" w:ascii="David" w:hAnsi="David"/>
          <w:rtl w:val="true"/>
        </w:rPr>
        <w:t>(</w:t>
      </w:r>
      <w:r>
        <w:rPr>
          <w:rFonts w:ascii="David" w:hAnsi="David" w:cs="David"/>
          <w:rtl w:val="true"/>
        </w:rPr>
        <w:t xml:space="preserve">בפסקה </w:t>
      </w:r>
      <w:r>
        <w:rPr>
          <w:rFonts w:cs="David" w:ascii="David" w:hAnsi="David"/>
        </w:rPr>
        <w:t>104</w:t>
      </w:r>
      <w:r>
        <w:rPr>
          <w:rFonts w:cs="David" w:ascii="David" w:hAnsi="David"/>
          <w:rtl w:val="true"/>
        </w:rPr>
        <w:t xml:space="preserve"> </w:t>
      </w:r>
      <w:r>
        <w:rPr>
          <w:rFonts w:ascii="David" w:hAnsi="David" w:cs="David"/>
          <w:rtl w:val="true"/>
        </w:rPr>
        <w:t>לפסק דינה של כבוד השופטת ברק</w:t>
      </w:r>
      <w:r>
        <w:rPr>
          <w:rFonts w:cs="David" w:ascii="David" w:hAnsi="David"/>
          <w:rtl w:val="true"/>
        </w:rPr>
        <w:t>-</w:t>
      </w:r>
      <w:r>
        <w:rPr>
          <w:rFonts w:ascii="David" w:hAnsi="David" w:cs="David"/>
          <w:rtl w:val="true"/>
        </w:rPr>
        <w:t>ארז</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לטעמנו</w:t>
      </w:r>
      <w:r>
        <w:rPr>
          <w:rFonts w:cs="David" w:ascii="David" w:hAnsi="David"/>
          <w:rtl w:val="true"/>
        </w:rPr>
        <w:t xml:space="preserve">, </w:t>
      </w:r>
      <w:r>
        <w:rPr>
          <w:rFonts w:ascii="David" w:hAnsi="David" w:cs="David"/>
          <w:rtl w:val="true"/>
        </w:rPr>
        <w:t>השומות המכריעות ומסד הנתונים הרחב שעליו הן נסמכות עולים בקנה אחד עם עקרונות אלה</w:t>
      </w:r>
      <w:r>
        <w:rPr>
          <w:rFonts w:cs="David" w:ascii="David" w:hAnsi="David"/>
          <w:rtl w:val="true"/>
        </w:rPr>
        <w:t xml:space="preserve">. </w:t>
      </w:r>
      <w:r>
        <w:rPr>
          <w:rFonts w:ascii="David" w:hAnsi="David" w:cs="David"/>
          <w:rtl w:val="true"/>
        </w:rPr>
        <w:t>מנגד</w:t>
      </w:r>
      <w:r>
        <w:rPr>
          <w:rFonts w:cs="David" w:ascii="David" w:hAnsi="David"/>
          <w:rtl w:val="true"/>
        </w:rPr>
        <w:t xml:space="preserve">, </w:t>
      </w:r>
      <w:r>
        <w:rPr>
          <w:rFonts w:ascii="David" w:hAnsi="David" w:cs="David"/>
          <w:rtl w:val="true"/>
        </w:rPr>
        <w:t>הוועדה המקומית מבקשת לבסס את השווי על עסקאות בודדות שנערכו במתחם</w:t>
      </w:r>
      <w:r>
        <w:rPr>
          <w:rFonts w:cs="David" w:ascii="David" w:hAnsi="David"/>
          <w:rtl w:val="true"/>
        </w:rPr>
        <w:t xml:space="preserve">, </w:t>
      </w:r>
      <w:r>
        <w:rPr>
          <w:rFonts w:ascii="David" w:hAnsi="David" w:cs="David"/>
          <w:rtl w:val="true"/>
        </w:rPr>
        <w:t>תוך הנחות שונות באשר לניתוחן ולמשמעות שיש לייחס להן</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הניתוח שערכה הוועדה המקומית בהקשר זה יוצא מנקודת הנחה כי את התמורה בעסקאות שנערכו במתחם יש לבחון במונחי ערך עתידי</w:t>
      </w:r>
      <w:r>
        <w:rPr>
          <w:rFonts w:cs="David" w:ascii="David" w:hAnsi="David"/>
          <w:rtl w:val="true"/>
        </w:rPr>
        <w:t xml:space="preserve">. </w:t>
      </w:r>
      <w:r>
        <w:rPr>
          <w:rFonts w:ascii="David" w:hAnsi="David" w:cs="David"/>
          <w:rtl w:val="true"/>
        </w:rPr>
        <w:t>ואולם</w:t>
      </w:r>
      <w:r>
        <w:rPr>
          <w:rFonts w:cs="David" w:ascii="David" w:hAnsi="David"/>
          <w:rtl w:val="true"/>
        </w:rPr>
        <w:t xml:space="preserve">, </w:t>
      </w:r>
      <w:r>
        <w:rPr>
          <w:rFonts w:ascii="David" w:hAnsi="David" w:cs="David"/>
          <w:rtl w:val="true"/>
        </w:rPr>
        <w:t>אף לשיטתה</w:t>
      </w:r>
      <w:r>
        <w:rPr>
          <w:rFonts w:cs="David" w:ascii="David" w:hAnsi="David"/>
          <w:rtl w:val="true"/>
        </w:rPr>
        <w:t xml:space="preserve">, </w:t>
      </w:r>
      <w:r>
        <w:rPr>
          <w:rFonts w:ascii="David" w:hAnsi="David" w:cs="David"/>
          <w:rtl w:val="true"/>
        </w:rPr>
        <w:t>היוון התמורה לערכה הנוכחי</w:t>
      </w:r>
      <w:r>
        <w:rPr>
          <w:rFonts w:cs="David" w:ascii="David" w:hAnsi="David"/>
          <w:rtl w:val="true"/>
        </w:rPr>
        <w:t xml:space="preserve">, </w:t>
      </w:r>
      <w:r>
        <w:rPr>
          <w:rFonts w:ascii="David" w:hAnsi="David" w:cs="David"/>
          <w:rtl w:val="true"/>
        </w:rPr>
        <w:t>בהתאם למדיניות התמורות שקבעה הוועדה המקומית למיזמי פינוי ובינוי</w:t>
      </w:r>
      <w:r>
        <w:rPr>
          <w:rFonts w:cs="David" w:ascii="David" w:hAnsi="David"/>
          <w:rtl w:val="true"/>
        </w:rPr>
        <w:t xml:space="preserve">, </w:t>
      </w:r>
      <w:r>
        <w:rPr>
          <w:rFonts w:ascii="David" w:hAnsi="David" w:cs="David"/>
          <w:rtl w:val="true"/>
        </w:rPr>
        <w:t xml:space="preserve">מוליך לשווי של </w:t>
      </w:r>
      <w:r>
        <w:rPr>
          <w:rFonts w:cs="David" w:ascii="David" w:hAnsi="David"/>
        </w:rPr>
        <w:t>20,645</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 למ</w:t>
      </w:r>
      <w:r>
        <w:rPr>
          <w:rFonts w:cs="David" w:ascii="David" w:hAnsi="David"/>
          <w:rtl w:val="true"/>
        </w:rPr>
        <w:t>"</w:t>
      </w:r>
      <w:r>
        <w:rPr>
          <w:rFonts w:ascii="David" w:hAnsi="David" w:cs="David"/>
          <w:rtl w:val="true"/>
        </w:rPr>
        <w:t>ר בנוי</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כלומר</w:t>
      </w:r>
      <w:r>
        <w:rPr>
          <w:rFonts w:cs="David" w:ascii="David" w:hAnsi="David"/>
          <w:rtl w:val="true"/>
        </w:rPr>
        <w:t xml:space="preserve">, </w:t>
      </w:r>
      <w:r>
        <w:rPr>
          <w:rFonts w:ascii="David" w:hAnsi="David" w:cs="David"/>
          <w:rtl w:val="true"/>
        </w:rPr>
        <w:t>הוועדה המקומית נכונה להניח שניתוח העסקאות במונחי ערך נוכחי משקף שווי הקרוב לזה שקבעה השמאית המכריעה</w:t>
      </w:r>
      <w:r>
        <w:rPr>
          <w:rFonts w:cs="David" w:ascii="David" w:hAnsi="David"/>
          <w:rtl w:val="true"/>
        </w:rPr>
        <w:t xml:space="preserve">. </w:t>
      </w:r>
      <w:r>
        <w:rPr>
          <w:rFonts w:ascii="David" w:hAnsi="David" w:cs="David"/>
          <w:rtl w:val="true"/>
        </w:rPr>
        <w:t>מקור המחלוקת הוא בגישה שיש לראות בתמורה שנקבעה בעסקאות משום ערך עתידי של השקעה אשר הסיכון הגלום בה התממש בפועל</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גישה זו אין בידינו לקבל</w:t>
      </w:r>
      <w:r>
        <w:rPr>
          <w:rFonts w:cs="David" w:ascii="David" w:hAnsi="David"/>
          <w:rtl w:val="true"/>
        </w:rPr>
        <w:t xml:space="preserve">. </w:t>
      </w:r>
      <w:r>
        <w:rPr>
          <w:rFonts w:ascii="David" w:hAnsi="David" w:cs="David"/>
          <w:rtl w:val="true"/>
        </w:rPr>
        <w:t>את שוויין של העסקאות שנערכו במתחם יש לבחון נכון למועד הקובע לתוכנית</w:t>
      </w:r>
      <w:r>
        <w:rPr>
          <w:rFonts w:cs="David" w:ascii="David" w:hAnsi="David"/>
          <w:rtl w:val="true"/>
        </w:rPr>
        <w:t xml:space="preserve">, </w:t>
      </w:r>
      <w:r>
        <w:rPr>
          <w:rFonts w:ascii="David" w:hAnsi="David" w:cs="David"/>
          <w:rtl w:val="true"/>
        </w:rPr>
        <w:t>ולא מנקודת מבט מאוחרת</w:t>
      </w:r>
      <w:r>
        <w:rPr>
          <w:rFonts w:cs="David" w:ascii="David" w:hAnsi="David"/>
          <w:rtl w:val="true"/>
        </w:rPr>
        <w:t xml:space="preserve">, </w:t>
      </w:r>
      <w:r>
        <w:rPr>
          <w:rFonts w:ascii="David" w:hAnsi="David" w:cs="David"/>
          <w:rtl w:val="true"/>
        </w:rPr>
        <w:t>לאחר שהתוכנית מומשה והסיכונים שנלוו לה התבהרו</w:t>
      </w:r>
      <w:r>
        <w:rPr>
          <w:rFonts w:cs="David" w:ascii="David" w:hAnsi="David"/>
          <w:rtl w:val="true"/>
        </w:rPr>
        <w:t xml:space="preserve">. </w:t>
      </w:r>
      <w:r>
        <w:rPr>
          <w:rFonts w:ascii="David" w:hAnsi="David" w:cs="David"/>
          <w:rtl w:val="true"/>
        </w:rPr>
        <w:t>משכך</w:t>
      </w:r>
      <w:r>
        <w:rPr>
          <w:rFonts w:cs="David" w:ascii="David" w:hAnsi="David"/>
          <w:rtl w:val="true"/>
        </w:rPr>
        <w:t xml:space="preserve">, </w:t>
      </w:r>
      <w:r>
        <w:rPr>
          <w:rFonts w:ascii="David" w:hAnsi="David" w:cs="David"/>
          <w:rtl w:val="true"/>
        </w:rPr>
        <w:t>דווקא החישוב שהציגה הוועדה המקומית באשר לערכן הנוכחי של עסקאות אלה הוא שמשקף את נקודת הזמן הרלוונטית להערכת השווי</w:t>
      </w:r>
      <w:r>
        <w:rPr>
          <w:rFonts w:cs="David" w:ascii="David" w:hAnsi="David"/>
          <w:rtl w:val="true"/>
        </w:rPr>
        <w:t xml:space="preserve">, </w:t>
      </w:r>
      <w:r>
        <w:rPr>
          <w:rFonts w:ascii="David" w:hAnsi="David" w:cs="David"/>
          <w:rtl w:val="true"/>
        </w:rPr>
        <w:t>ועל כן יש להעדיפו בנסיבות העניין</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ערך זה תואם</w:t>
      </w:r>
      <w:r>
        <w:rPr>
          <w:rFonts w:cs="David" w:ascii="David" w:hAnsi="David"/>
          <w:rtl w:val="true"/>
        </w:rPr>
        <w:t xml:space="preserve">, </w:t>
      </w:r>
      <w:r>
        <w:rPr>
          <w:rFonts w:ascii="David" w:hAnsi="David" w:cs="David"/>
          <w:rtl w:val="true"/>
        </w:rPr>
        <w:t>בעיקרו של דבר</w:t>
      </w:r>
      <w:r>
        <w:rPr>
          <w:rFonts w:cs="David" w:ascii="David" w:hAnsi="David"/>
          <w:rtl w:val="true"/>
        </w:rPr>
        <w:t xml:space="preserve">, </w:t>
      </w:r>
      <w:r>
        <w:rPr>
          <w:rFonts w:ascii="David" w:hAnsi="David" w:cs="David"/>
          <w:rtl w:val="true"/>
        </w:rPr>
        <w:t>את השווי שקבעה השמאית המכריעה</w:t>
      </w:r>
      <w:r>
        <w:rPr>
          <w:rFonts w:cs="David" w:ascii="David" w:hAnsi="David"/>
          <w:rtl w:val="true"/>
        </w:rPr>
        <w:t xml:space="preserve">. </w:t>
      </w:r>
      <w:r>
        <w:rPr>
          <w:rFonts w:ascii="David" w:hAnsi="David" w:cs="David"/>
          <w:rtl w:val="true"/>
        </w:rPr>
        <w:t>בנסיבות אלה</w:t>
      </w:r>
      <w:r>
        <w:rPr>
          <w:rFonts w:cs="David" w:ascii="David" w:hAnsi="David"/>
          <w:rtl w:val="true"/>
        </w:rPr>
        <w:t xml:space="preserve">, </w:t>
      </w:r>
      <w:r>
        <w:rPr>
          <w:rFonts w:ascii="David" w:hAnsi="David" w:cs="David"/>
          <w:rtl w:val="true"/>
        </w:rPr>
        <w:t>לא מצאנו עילה להתערב בקביעתה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נוסף על כך</w:t>
      </w:r>
      <w:r>
        <w:rPr>
          <w:rFonts w:cs="David" w:ascii="David" w:hAnsi="David"/>
          <w:rtl w:val="true"/>
        </w:rPr>
        <w:t xml:space="preserve">, </w:t>
      </w:r>
      <w:r>
        <w:rPr>
          <w:rFonts w:ascii="David" w:hAnsi="David" w:cs="David"/>
          <w:rtl w:val="true"/>
        </w:rPr>
        <w:t>לא מצאנו ממש בטענת הוועדה המקומית כי לא ניתן משקל מספק לטענותיה בנוגע לפרויקט שילנסקי</w:t>
      </w:r>
      <w:r>
        <w:rPr>
          <w:rFonts w:cs="David" w:ascii="David" w:hAnsi="David"/>
          <w:rtl w:val="true"/>
        </w:rPr>
        <w:t xml:space="preserve">. </w:t>
      </w:r>
      <w:r>
        <w:rPr>
          <w:rFonts w:ascii="David" w:hAnsi="David" w:cs="David"/>
          <w:rtl w:val="true"/>
        </w:rPr>
        <w:t>בהקשר זה הוצגו לנו הנחות שונות באשר להתאמות שנדרשו בפרויקט לאחר מתן היתר הבנייה הראשון</w:t>
      </w:r>
      <w:r>
        <w:rPr>
          <w:rFonts w:cs="David" w:ascii="David" w:hAnsi="David"/>
          <w:rtl w:val="true"/>
        </w:rPr>
        <w:t xml:space="preserve">, </w:t>
      </w:r>
      <w:r>
        <w:rPr>
          <w:rFonts w:ascii="David" w:hAnsi="David" w:cs="David"/>
          <w:rtl w:val="true"/>
        </w:rPr>
        <w:t>או המרכזי</w:t>
      </w:r>
      <w:r>
        <w:rPr>
          <w:rFonts w:cs="David" w:ascii="David" w:hAnsi="David"/>
          <w:rtl w:val="true"/>
        </w:rPr>
        <w:t xml:space="preserve">, </w:t>
      </w:r>
      <w:r>
        <w:rPr>
          <w:rFonts w:ascii="David" w:hAnsi="David" w:cs="David"/>
          <w:rtl w:val="true"/>
        </w:rPr>
        <w:t>מבין ההיתרים שניתנו בו</w:t>
      </w:r>
      <w:r>
        <w:rPr>
          <w:rFonts w:cs="David" w:ascii="David" w:hAnsi="David"/>
          <w:rtl w:val="true"/>
        </w:rPr>
        <w:t xml:space="preserve">, </w:t>
      </w:r>
      <w:r>
        <w:rPr>
          <w:rFonts w:ascii="David" w:hAnsi="David" w:cs="David"/>
          <w:rtl w:val="true"/>
        </w:rPr>
        <w:t xml:space="preserve">באופן שלכאורה מצביע על </w:t>
      </w:r>
      <w:r>
        <w:rPr>
          <w:rFonts w:cs="David" w:ascii="David" w:hAnsi="David"/>
          <w:rtl w:val="true"/>
        </w:rPr>
        <w:t>"</w:t>
      </w:r>
      <w:r>
        <w:rPr>
          <w:rFonts w:ascii="David" w:hAnsi="David" w:cs="David"/>
          <w:rtl w:val="true"/>
        </w:rPr>
        <w:t>מיתוג בעייתי</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אלא שהנחות אלה לא הונחו על תשתית מספקת</w:t>
      </w:r>
      <w:r>
        <w:rPr>
          <w:rFonts w:cs="David" w:ascii="David" w:hAnsi="David"/>
          <w:rtl w:val="true"/>
        </w:rPr>
        <w:t xml:space="preserve">. </w:t>
      </w:r>
      <w:r>
        <w:rPr>
          <w:rFonts w:ascii="David" w:hAnsi="David" w:cs="David"/>
          <w:rtl w:val="true"/>
        </w:rPr>
        <w:t>יתרה מכך</w:t>
      </w:r>
      <w:r>
        <w:rPr>
          <w:rFonts w:cs="David" w:ascii="David" w:hAnsi="David"/>
          <w:rtl w:val="true"/>
        </w:rPr>
        <w:t xml:space="preserve">, </w:t>
      </w:r>
      <w:r>
        <w:rPr>
          <w:rFonts w:ascii="David" w:hAnsi="David" w:cs="David"/>
          <w:rtl w:val="true"/>
        </w:rPr>
        <w:t>הן אינן נותנות משקל לכך שערכי השווי שהוצגו ביחס לפרויקט זה משקפים את מצבו לאחר שאירועו בו השינויים הנטענים</w:t>
      </w:r>
      <w:r>
        <w:rPr>
          <w:rFonts w:cs="David" w:ascii="David" w:hAnsi="David"/>
          <w:rtl w:val="true"/>
        </w:rPr>
        <w:t xml:space="preserve">, </w:t>
      </w:r>
      <w:r>
        <w:rPr>
          <w:rFonts w:ascii="David" w:hAnsi="David" w:cs="David"/>
          <w:rtl w:val="true"/>
        </w:rPr>
        <w:t>ככל שאכן נדרשו</w:t>
      </w:r>
      <w:r>
        <w:rPr>
          <w:rFonts w:cs="David" w:ascii="David" w:hAnsi="David"/>
          <w:rtl w:val="true"/>
        </w:rPr>
        <w:t xml:space="preserve">. </w:t>
      </w:r>
      <w:r>
        <w:rPr>
          <w:rFonts w:ascii="David" w:hAnsi="David" w:cs="David"/>
          <w:rtl w:val="true"/>
        </w:rPr>
        <w:t>מכל מקום</w:t>
      </w:r>
      <w:r>
        <w:rPr>
          <w:rFonts w:cs="David" w:ascii="David" w:hAnsi="David"/>
          <w:rtl w:val="true"/>
        </w:rPr>
        <w:t xml:space="preserve">, </w:t>
      </w:r>
      <w:r>
        <w:rPr>
          <w:rFonts w:ascii="David" w:hAnsi="David" w:cs="David"/>
          <w:rtl w:val="true"/>
        </w:rPr>
        <w:t>אף אם נניח לטובת הוועדה המקומית כי בפרויקט זה נעשו התאמות מסוימות</w:t>
      </w:r>
      <w:r>
        <w:rPr>
          <w:rFonts w:cs="David" w:ascii="David" w:hAnsi="David"/>
          <w:rtl w:val="true"/>
        </w:rPr>
        <w:t xml:space="preserve">, </w:t>
      </w:r>
      <w:r>
        <w:rPr>
          <w:rFonts w:ascii="David" w:hAnsi="David" w:cs="David"/>
          <w:rtl w:val="true"/>
        </w:rPr>
        <w:t>אין בכך כדי ללמד על שונות מהותית בינו לבין מיזמים אחרים של התחדשות עירונית</w:t>
      </w:r>
      <w:r>
        <w:rPr>
          <w:rFonts w:cs="David" w:ascii="David" w:hAnsi="David"/>
          <w:rtl w:val="true"/>
        </w:rPr>
        <w:t xml:space="preserve">. </w:t>
      </w:r>
      <w:r>
        <w:rPr>
          <w:rFonts w:ascii="David" w:hAnsi="David" w:cs="David"/>
          <w:rtl w:val="true"/>
        </w:rPr>
        <w:t>התאמות במהלך קידומו ומימושו של מיזם להתחדשות עירונית</w:t>
      </w:r>
      <w:r>
        <w:rPr>
          <w:rFonts w:cs="David" w:ascii="David" w:hAnsi="David"/>
          <w:rtl w:val="true"/>
        </w:rPr>
        <w:t xml:space="preserve">, </w:t>
      </w:r>
      <w:r>
        <w:rPr>
          <w:rFonts w:ascii="David" w:hAnsi="David" w:cs="David"/>
          <w:rtl w:val="true"/>
        </w:rPr>
        <w:t>לרבות הגדלת היקף זכויות הבנייה או שינוי בתמהיל הבינוי</w:t>
      </w:r>
      <w:r>
        <w:rPr>
          <w:rFonts w:cs="David" w:ascii="David" w:hAnsi="David"/>
          <w:rtl w:val="true"/>
        </w:rPr>
        <w:t xml:space="preserve">, </w:t>
      </w:r>
      <w:r>
        <w:rPr>
          <w:rFonts w:ascii="David" w:hAnsi="David" w:cs="David"/>
          <w:rtl w:val="true"/>
        </w:rPr>
        <w:t>אינן חריגות במיזמים מסוג זה</w:t>
      </w:r>
      <w:r>
        <w:rPr>
          <w:rFonts w:cs="David" w:ascii="David" w:hAnsi="David"/>
          <w:rtl w:val="true"/>
        </w:rPr>
        <w:t xml:space="preserve">. </w:t>
      </w:r>
      <w:r>
        <w:rPr>
          <w:rFonts w:ascii="David" w:hAnsi="David" w:cs="David"/>
          <w:rtl w:val="true"/>
        </w:rPr>
        <w:t>הדברים מקבלים משנה תוקף לנוכח הדוגמאות שעליהן הצביעה הוועדה המקומית עצמה בפרק שעניינו שיעור הדחייה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העולה מן המקובץ הוא כי טענותיה של הוועדה המקומית נותרו בגדר טענות כלליות</w:t>
      </w:r>
      <w:r>
        <w:rPr>
          <w:rFonts w:cs="David" w:ascii="David" w:hAnsi="David"/>
          <w:rtl w:val="true"/>
        </w:rPr>
        <w:t xml:space="preserve">, </w:t>
      </w:r>
      <w:r>
        <w:rPr>
          <w:rFonts w:ascii="David" w:hAnsi="David" w:cs="David"/>
          <w:rtl w:val="true"/>
        </w:rPr>
        <w:t>אשר לא הונחה להן תשתית עובדתית מספקת</w:t>
      </w:r>
      <w:r>
        <w:rPr>
          <w:rFonts w:cs="David" w:ascii="David" w:hAnsi="David"/>
          <w:rtl w:val="true"/>
        </w:rPr>
        <w:t xml:space="preserve">. </w:t>
      </w:r>
      <w:r>
        <w:rPr>
          <w:rFonts w:ascii="David" w:hAnsi="David" w:cs="David"/>
          <w:rtl w:val="true"/>
        </w:rPr>
        <w:t>בנסיבות אלה</w:t>
      </w:r>
      <w:r>
        <w:rPr>
          <w:rFonts w:cs="David" w:ascii="David" w:hAnsi="David"/>
          <w:rtl w:val="true"/>
        </w:rPr>
        <w:t xml:space="preserve">, </w:t>
      </w:r>
      <w:r>
        <w:rPr>
          <w:rFonts w:ascii="David" w:hAnsi="David" w:cs="David"/>
          <w:rtl w:val="true"/>
        </w:rPr>
        <w:t>אין בטענות האמורות כדי לערער את מסד הנתונים שעליו סמכה השמאית המכריעה את קביעתה</w:t>
      </w:r>
      <w:r>
        <w:rPr>
          <w:rFonts w:cs="David" w:ascii="David" w:hAnsi="David"/>
          <w:rtl w:val="true"/>
        </w:rPr>
        <w:t xml:space="preserve">, </w:t>
      </w:r>
      <w:r>
        <w:rPr>
          <w:rFonts w:ascii="David" w:hAnsi="David" w:cs="David"/>
          <w:rtl w:val="true"/>
        </w:rPr>
        <w:t>ואין בהן כדי להצדיק התערבות במסקנתה</w:t>
      </w:r>
      <w:r>
        <w:rPr>
          <w:rFonts w:cs="David" w:ascii="David" w:hAnsi="David"/>
          <w:rtl w:val="true"/>
        </w:rPr>
        <w:t>.</w:t>
      </w:r>
    </w:p>
    <w:p>
      <w:pPr>
        <w:pStyle w:val="Heading3"/>
        <w:suppressLineNumbers/>
        <w:spacing w:before="240" w:after="240"/>
        <w:ind w:firstLine="510" w:end="0"/>
        <w:jc w:val="start"/>
        <w:rPr/>
      </w:pPr>
      <w:r>
        <w:rPr>
          <w:rtl w:val="true"/>
        </w:rPr>
        <w:t>שווי</w:t>
      </w:r>
      <w:r>
        <w:rPr>
          <w:rFonts w:eastAsia="Cambria" w:cs="Cambria"/>
          <w:rtl w:val="true"/>
        </w:rPr>
        <w:t xml:space="preserve"> </w:t>
      </w:r>
      <w:r>
        <w:rPr>
          <w:rtl w:val="true"/>
        </w:rPr>
        <w:t>קרקע</w:t>
      </w:r>
      <w:r>
        <w:rPr>
          <w:rFonts w:eastAsia="Cambria" w:cs="Cambria"/>
          <w:rtl w:val="true"/>
        </w:rPr>
        <w:t xml:space="preserve"> </w:t>
      </w:r>
      <w:r>
        <w:rPr>
          <w:rtl w:val="true"/>
        </w:rPr>
        <w:t>למ</w:t>
      </w:r>
      <w:r>
        <w:rPr>
          <w:rtl w:val="true"/>
        </w:rPr>
        <w:t>"</w:t>
      </w:r>
      <w:r>
        <w:rPr>
          <w:rtl w:val="true"/>
        </w:rPr>
        <w:t>ר</w:t>
      </w:r>
      <w:r>
        <w:rPr>
          <w:rFonts w:eastAsia="Cambria" w:cs="Cambria"/>
          <w:rtl w:val="true"/>
        </w:rPr>
        <w:t xml:space="preserve"> </w:t>
      </w:r>
      <w:r>
        <w:rPr>
          <w:rtl w:val="true"/>
        </w:rPr>
        <w:t>מבונה</w:t>
      </w:r>
      <w:r>
        <w:rPr>
          <w:rFonts w:eastAsia="Cambria" w:cs="Cambria"/>
          <w:rtl w:val="true"/>
        </w:rPr>
        <w:t xml:space="preserve"> </w:t>
      </w:r>
      <w:r>
        <w:rPr>
          <w:rtl w:val="true"/>
        </w:rPr>
        <w:t>למסחר</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כידוע</w:t>
      </w:r>
      <w:r>
        <w:rPr>
          <w:rFonts w:cs="David" w:ascii="David" w:hAnsi="David"/>
          <w:rtl w:val="true"/>
        </w:rPr>
        <w:t xml:space="preserve">, </w:t>
      </w:r>
      <w:r>
        <w:rPr>
          <w:rFonts w:ascii="David" w:hAnsi="David" w:cs="David"/>
          <w:rtl w:val="true"/>
        </w:rPr>
        <w:t>קביעת ערכי שווי מצויה בליבת המומחיות השמאית</w:t>
      </w:r>
      <w:r>
        <w:rPr>
          <w:rFonts w:cs="David" w:ascii="David" w:hAnsi="David"/>
          <w:rtl w:val="true"/>
        </w:rPr>
        <w:t xml:space="preserve">. </w:t>
      </w:r>
      <w:r>
        <w:rPr>
          <w:rFonts w:ascii="David" w:hAnsi="David" w:cs="David"/>
          <w:rtl w:val="true"/>
        </w:rPr>
        <w:t>לפיכך</w:t>
      </w:r>
      <w:r>
        <w:rPr>
          <w:rFonts w:cs="David" w:ascii="David" w:hAnsi="David"/>
          <w:rtl w:val="true"/>
        </w:rPr>
        <w:t xml:space="preserve">, </w:t>
      </w:r>
      <w:r>
        <w:rPr>
          <w:rFonts w:ascii="David" w:hAnsi="David" w:cs="David"/>
          <w:rtl w:val="true"/>
        </w:rPr>
        <w:t>ועדת הערר לא תיטה להתערב בה מקום שבו היא נשענת על מתודה שמאית מקובלת ועל תשתית עובדתית מספקת</w:t>
      </w:r>
      <w:r>
        <w:rPr>
          <w:rFonts w:cs="David" w:ascii="David" w:hAnsi="David"/>
          <w:rtl w:val="true"/>
        </w:rPr>
        <w:t xml:space="preserve">, </w:t>
      </w:r>
      <w:r>
        <w:rPr>
          <w:rFonts w:ascii="David" w:hAnsi="David" w:cs="David"/>
          <w:rtl w:val="true"/>
        </w:rPr>
        <w:t xml:space="preserve">וזאת אף אם ניתן להצביע על גישות מקצועיות אחרות בסוגיה שבמחלוקת </w:t>
      </w:r>
      <w:r>
        <w:rPr>
          <w:rFonts w:cs="David" w:ascii="David" w:hAnsi="David"/>
          <w:rtl w:val="true"/>
        </w:rPr>
        <w:t>(</w:t>
      </w:r>
      <w:hyperlink r:id="rId27">
        <w:r>
          <w:rPr>
            <w:rStyle w:val="Hyperlink"/>
            <w:rFonts w:ascii="David" w:hAnsi="David" w:cs="David"/>
            <w:color w:val="0000FF"/>
            <w:u w:val="single"/>
            <w:rtl w:val="true"/>
          </w:rPr>
          <w:t>בר</w:t>
        </w:r>
        <w:r>
          <w:rPr>
            <w:rStyle w:val="Hyperlink"/>
            <w:rFonts w:cs="David" w:ascii="David" w:hAnsi="David"/>
            <w:color w:val="0000FF"/>
            <w:u w:val="single"/>
            <w:rtl w:val="true"/>
          </w:rPr>
          <w:t>"</w:t>
        </w:r>
        <w:r>
          <w:rPr>
            <w:rStyle w:val="Hyperlink"/>
            <w:rFonts w:ascii="David" w:hAnsi="David" w:cs="David"/>
            <w:color w:val="0000FF"/>
            <w:u w:val="single"/>
            <w:rtl w:val="true"/>
          </w:rPr>
          <w:t xml:space="preserve">מ </w:t>
        </w:r>
        <w:r>
          <w:rPr>
            <w:rStyle w:val="Hyperlink"/>
            <w:rFonts w:cs="David" w:ascii="David" w:hAnsi="David"/>
            <w:color w:val="0000FF"/>
            <w:u w:val="single"/>
          </w:rPr>
          <w:t>3644/13</w:t>
        </w:r>
      </w:hyperlink>
      <w:r>
        <w:rPr>
          <w:rFonts w:cs="David" w:ascii="David" w:hAnsi="David"/>
          <w:rtl w:val="true"/>
        </w:rPr>
        <w:t xml:space="preserve"> </w:t>
      </w:r>
      <w:r>
        <w:rPr>
          <w:rFonts w:ascii="Miriam" w:hAnsi="Miriam" w:cs="Miriam"/>
          <w:rtl w:val="true"/>
        </w:rPr>
        <w:t>משרד התחבורה נ</w:t>
      </w:r>
      <w:r>
        <w:rPr>
          <w:rFonts w:cs="Miriam" w:ascii="Miriam" w:hAnsi="Miriam"/>
          <w:rtl w:val="true"/>
        </w:rPr>
        <w:t xml:space="preserve">' </w:t>
      </w:r>
      <w:r>
        <w:rPr>
          <w:rFonts w:ascii="Miriam" w:hAnsi="Miriam" w:cs="Miriam"/>
          <w:rtl w:val="true"/>
        </w:rPr>
        <w:t>גלר דוד ואארורה ואח</w:t>
      </w:r>
      <w:r>
        <w:rPr>
          <w:rFonts w:cs="Miriam" w:ascii="Miriam" w:hAnsi="Miriam"/>
          <w:rtl w:val="true"/>
        </w:rPr>
        <w:t>'</w:t>
      </w:r>
      <w:r>
        <w:rPr>
          <w:rFonts w:cs="David" w:ascii="David" w:hAnsi="David"/>
          <w:rtl w:val="true"/>
        </w:rPr>
        <w:t xml:space="preserve"> (</w:t>
      </w:r>
      <w:r>
        <w:rPr>
          <w:rFonts w:ascii="David" w:hAnsi="David" w:cs="David"/>
          <w:rtl w:val="true"/>
        </w:rPr>
        <w:t xml:space="preserve">נבו </w:t>
      </w:r>
      <w:r>
        <w:rPr>
          <w:rFonts w:cs="David" w:ascii="David" w:hAnsi="David"/>
        </w:rPr>
        <w:t>23.4.2014</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בענייננו</w:t>
      </w:r>
      <w:r>
        <w:rPr>
          <w:rFonts w:cs="David" w:ascii="David" w:hAnsi="David"/>
          <w:rtl w:val="true"/>
        </w:rPr>
        <w:t xml:space="preserve">, </w:t>
      </w:r>
      <w:r>
        <w:rPr>
          <w:rFonts w:ascii="David" w:hAnsi="David" w:cs="David"/>
          <w:rtl w:val="true"/>
        </w:rPr>
        <w:t>ערכי השווי למסחר נקבעו על יסוד תשתית נתונים רחבה ומגוונת</w:t>
      </w:r>
      <w:r>
        <w:rPr>
          <w:rFonts w:cs="David" w:ascii="David" w:hAnsi="David"/>
          <w:rtl w:val="true"/>
        </w:rPr>
        <w:t xml:space="preserve">, </w:t>
      </w:r>
      <w:r>
        <w:rPr>
          <w:rFonts w:ascii="David" w:hAnsi="David" w:cs="David"/>
          <w:rtl w:val="true"/>
        </w:rPr>
        <w:t>שכללה עסקאות השוואה</w:t>
      </w:r>
      <w:r>
        <w:rPr>
          <w:rFonts w:cs="David" w:ascii="David" w:hAnsi="David"/>
          <w:rtl w:val="true"/>
        </w:rPr>
        <w:t xml:space="preserve">, </w:t>
      </w:r>
      <w:r>
        <w:rPr>
          <w:rFonts w:ascii="David" w:hAnsi="David" w:cs="David"/>
          <w:rtl w:val="true"/>
        </w:rPr>
        <w:t>שומות מכריעות וכן מכרז שפרסמה רשות מקרקעי ישראל</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עיון במסד עסקאות ההשוואה מלמד על שונות ניכרת בשווי למ</w:t>
      </w:r>
      <w:r>
        <w:rPr>
          <w:rFonts w:cs="David" w:ascii="David" w:hAnsi="David"/>
          <w:rtl w:val="true"/>
        </w:rPr>
        <w:t>"</w:t>
      </w:r>
      <w:r>
        <w:rPr>
          <w:rFonts w:ascii="David" w:hAnsi="David" w:cs="David"/>
          <w:rtl w:val="true"/>
        </w:rPr>
        <w:t>ר בנוי בין העסקאות השונות</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לטענת הוועדה המקומית</w:t>
      </w:r>
      <w:r>
        <w:rPr>
          <w:rFonts w:cs="David" w:ascii="David" w:hAnsi="David"/>
          <w:rtl w:val="true"/>
        </w:rPr>
        <w:t xml:space="preserve">, </w:t>
      </w:r>
      <w:r>
        <w:rPr>
          <w:rFonts w:ascii="David" w:hAnsi="David" w:cs="David"/>
          <w:rtl w:val="true"/>
        </w:rPr>
        <w:t>שונות זו נעוצה</w:t>
      </w:r>
      <w:r>
        <w:rPr>
          <w:rFonts w:cs="David" w:ascii="David" w:hAnsi="David"/>
          <w:rtl w:val="true"/>
        </w:rPr>
        <w:t xml:space="preserve">, </w:t>
      </w:r>
      <w:r>
        <w:rPr>
          <w:rFonts w:ascii="David" w:hAnsi="David" w:cs="David"/>
          <w:rtl w:val="true"/>
        </w:rPr>
        <w:t>בין היתר</w:t>
      </w:r>
      <w:r>
        <w:rPr>
          <w:rFonts w:cs="David" w:ascii="David" w:hAnsi="David"/>
          <w:rtl w:val="true"/>
        </w:rPr>
        <w:t xml:space="preserve">, </w:t>
      </w:r>
      <w:r>
        <w:rPr>
          <w:rFonts w:ascii="David" w:hAnsi="David" w:cs="David"/>
          <w:rtl w:val="true"/>
        </w:rPr>
        <w:t>במאפיינים המשפיעים על מידת החשיפה של הנכס לקהל</w:t>
      </w:r>
      <w:r>
        <w:rPr>
          <w:rFonts w:cs="David" w:ascii="David" w:hAnsi="David"/>
          <w:rtl w:val="true"/>
        </w:rPr>
        <w:t xml:space="preserve">, </w:t>
      </w:r>
      <w:r>
        <w:rPr>
          <w:rFonts w:ascii="David" w:hAnsi="David" w:cs="David"/>
          <w:rtl w:val="true"/>
        </w:rPr>
        <w:t>ובהם מיקום החזית והקומה שבה מצוי הנכס</w:t>
      </w:r>
      <w:r>
        <w:rPr>
          <w:rFonts w:cs="David" w:ascii="David" w:hAnsi="David"/>
          <w:rtl w:val="true"/>
        </w:rPr>
        <w:t xml:space="preserve">. </w:t>
      </w:r>
      <w:r>
        <w:rPr>
          <w:rFonts w:ascii="David" w:hAnsi="David" w:cs="David"/>
          <w:rtl w:val="true"/>
        </w:rPr>
        <w:t>לשיטתה</w:t>
      </w:r>
      <w:r>
        <w:rPr>
          <w:rFonts w:cs="David" w:ascii="David" w:hAnsi="David"/>
          <w:rtl w:val="true"/>
        </w:rPr>
        <w:t xml:space="preserve">, </w:t>
      </w:r>
      <w:r>
        <w:rPr>
          <w:rFonts w:ascii="David" w:hAnsi="David" w:cs="David"/>
          <w:rtl w:val="true"/>
        </w:rPr>
        <w:t>היה מקום לנטרל את השפעתם של מאפיינים אלה במסגרת ניתוח עסקאות ההשוואה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על פני הדברים</w:t>
      </w:r>
      <w:r>
        <w:rPr>
          <w:rFonts w:cs="David" w:ascii="David" w:hAnsi="David"/>
          <w:rtl w:val="true"/>
        </w:rPr>
        <w:t xml:space="preserve">, </w:t>
      </w:r>
      <w:r>
        <w:rPr>
          <w:rFonts w:ascii="David" w:hAnsi="David" w:cs="David"/>
          <w:rtl w:val="true"/>
        </w:rPr>
        <w:t>יש ממש בטענה זו</w:t>
      </w:r>
      <w:r>
        <w:rPr>
          <w:rFonts w:cs="David" w:ascii="David" w:hAnsi="David"/>
          <w:rtl w:val="true"/>
        </w:rPr>
        <w:t xml:space="preserve">. </w:t>
      </w:r>
      <w:r>
        <w:rPr>
          <w:rFonts w:ascii="David" w:hAnsi="David" w:cs="David"/>
          <w:rtl w:val="true"/>
        </w:rPr>
        <w:t>עסקאות בנכסים המצויים בחזית הרחוב</w:t>
      </w:r>
      <w:r>
        <w:rPr>
          <w:rFonts w:cs="David" w:ascii="David" w:hAnsi="David"/>
          <w:rtl w:val="true"/>
        </w:rPr>
        <w:t xml:space="preserve">, </w:t>
      </w:r>
      <w:r>
        <w:rPr>
          <w:rFonts w:ascii="David" w:hAnsi="David" w:cs="David"/>
          <w:rtl w:val="true"/>
        </w:rPr>
        <w:t>להבדיל מנכסים הפונים לחזית פנימית</w:t>
      </w:r>
      <w:r>
        <w:rPr>
          <w:rFonts w:cs="David" w:ascii="David" w:hAnsi="David"/>
          <w:rtl w:val="true"/>
        </w:rPr>
        <w:t xml:space="preserve">, </w:t>
      </w:r>
      <w:r>
        <w:rPr>
          <w:rFonts w:ascii="David" w:hAnsi="David" w:cs="David"/>
          <w:rtl w:val="true"/>
        </w:rPr>
        <w:t>אכן מצביעות על שווי גבוה במידה ניכרת מזה העולה מעסקאות בנכסים שמידת חשיפתם לקהל נמוכה יותר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 xml:space="preserve">העסקה שנערכה בגוש </w:t>
      </w:r>
      <w:r>
        <w:rPr>
          <w:rFonts w:cs="David" w:ascii="David" w:hAnsi="David"/>
        </w:rPr>
        <w:t>7928</w:t>
      </w:r>
      <w:r>
        <w:rPr>
          <w:rFonts w:cs="David" w:ascii="David" w:hAnsi="David"/>
          <w:rtl w:val="true"/>
        </w:rPr>
        <w:t xml:space="preserve"> </w:t>
      </w:r>
      <w:r>
        <w:rPr>
          <w:rFonts w:ascii="David" w:hAnsi="David" w:cs="David"/>
          <w:rtl w:val="true"/>
        </w:rPr>
        <w:t xml:space="preserve">חלקה </w:t>
      </w:r>
      <w:r>
        <w:rPr>
          <w:rFonts w:cs="David" w:ascii="David" w:hAnsi="David"/>
        </w:rPr>
        <w:t>22</w:t>
      </w:r>
      <w:r>
        <w:rPr>
          <w:rFonts w:cs="David" w:ascii="David" w:hAnsi="David"/>
          <w:rtl w:val="true"/>
        </w:rPr>
        <w:t xml:space="preserve">, </w:t>
      </w:r>
      <w:r>
        <w:rPr>
          <w:rFonts w:ascii="David" w:hAnsi="David" w:cs="David"/>
          <w:rtl w:val="true"/>
        </w:rPr>
        <w:t xml:space="preserve">שממנה נגזר שווי של </w:t>
      </w:r>
      <w:r>
        <w:rPr>
          <w:rFonts w:cs="David" w:ascii="David" w:hAnsi="David"/>
        </w:rPr>
        <w:t>13,541</w:t>
      </w:r>
      <w:r>
        <w:rPr>
          <w:rFonts w:cs="David" w:ascii="David" w:hAnsi="David"/>
          <w:rtl w:val="true"/>
        </w:rPr>
        <w:t xml:space="preserve"> </w:t>
      </w:r>
      <w:r>
        <w:rPr>
          <w:rFonts w:ascii="David" w:hAnsi="David" w:cs="David"/>
          <w:rtl w:val="true"/>
        </w:rPr>
        <w:t>ש</w:t>
      </w:r>
      <w:r>
        <w:rPr>
          <w:rFonts w:cs="David" w:ascii="David" w:hAnsi="David"/>
          <w:rtl w:val="true"/>
        </w:rPr>
        <w:t>"</w:t>
      </w:r>
      <w:r>
        <w:rPr>
          <w:rFonts w:ascii="David" w:hAnsi="David" w:cs="David"/>
          <w:rtl w:val="true"/>
        </w:rPr>
        <w:t>ח למ</w:t>
      </w:r>
      <w:r>
        <w:rPr>
          <w:rFonts w:cs="David" w:ascii="David" w:hAnsi="David"/>
          <w:rtl w:val="true"/>
        </w:rPr>
        <w:t>"</w:t>
      </w:r>
      <w:r>
        <w:rPr>
          <w:rFonts w:ascii="David" w:hAnsi="David" w:cs="David"/>
          <w:rtl w:val="true"/>
        </w:rPr>
        <w:t>ר בנוי</w:t>
      </w:r>
      <w:r>
        <w:rPr>
          <w:rFonts w:cs="David" w:ascii="David" w:hAnsi="David"/>
          <w:rtl w:val="true"/>
        </w:rPr>
        <w:t xml:space="preserve">, </w:t>
      </w:r>
      <w:r>
        <w:rPr>
          <w:rFonts w:ascii="David" w:hAnsi="David" w:cs="David"/>
          <w:rtl w:val="true"/>
        </w:rPr>
        <w:t>היא חריגה בהקשר זה</w:t>
      </w:r>
      <w:r>
        <w:rPr>
          <w:rFonts w:cs="David" w:ascii="David" w:hAnsi="David"/>
          <w:rtl w:val="true"/>
        </w:rPr>
        <w:t xml:space="preserve">. </w:t>
      </w:r>
      <w:r>
        <w:rPr>
          <w:rFonts w:ascii="David" w:hAnsi="David" w:cs="David"/>
          <w:rtl w:val="true"/>
        </w:rPr>
        <w:t>בהינתן מאפייני הנכס והפער בינה לבין יתר העסקאות</w:t>
      </w:r>
      <w:r>
        <w:rPr>
          <w:rFonts w:cs="David" w:ascii="David" w:hAnsi="David"/>
          <w:rtl w:val="true"/>
        </w:rPr>
        <w:t xml:space="preserve">, </w:t>
      </w:r>
      <w:r>
        <w:rPr>
          <w:rFonts w:ascii="David" w:hAnsi="David" w:cs="David"/>
          <w:rtl w:val="true"/>
        </w:rPr>
        <w:t>הכללתה במסד הנתונים טעונה הסבר</w:t>
      </w:r>
      <w:r>
        <w:rPr>
          <w:rFonts w:cs="David" w:ascii="David" w:hAnsi="David"/>
          <w:rtl w:val="true"/>
        </w:rPr>
        <w:t xml:space="preserve">. </w:t>
      </w:r>
      <w:r>
        <w:rPr>
          <w:rFonts w:ascii="David" w:hAnsi="David" w:cs="David"/>
          <w:rtl w:val="true"/>
        </w:rPr>
        <w:t>הדברים אמורים ביתר שאת שעה שעסקה חריגה אחרת</w:t>
      </w:r>
      <w:r>
        <w:rPr>
          <w:rFonts w:cs="David" w:ascii="David" w:hAnsi="David"/>
          <w:rtl w:val="true"/>
        </w:rPr>
        <w:t xml:space="preserve">, </w:t>
      </w:r>
      <w:r>
        <w:rPr>
          <w:rFonts w:ascii="David" w:hAnsi="David" w:cs="David"/>
          <w:rtl w:val="true"/>
        </w:rPr>
        <w:t xml:space="preserve">שנערכה בגוש </w:t>
      </w:r>
      <w:r>
        <w:rPr>
          <w:rFonts w:cs="David" w:ascii="David" w:hAnsi="David"/>
        </w:rPr>
        <w:t>7960</w:t>
      </w:r>
      <w:r>
        <w:rPr>
          <w:rFonts w:cs="David" w:ascii="David" w:hAnsi="David"/>
          <w:rtl w:val="true"/>
        </w:rPr>
        <w:t xml:space="preserve"> </w:t>
      </w:r>
      <w:r>
        <w:rPr>
          <w:rFonts w:ascii="David" w:hAnsi="David" w:cs="David"/>
          <w:rtl w:val="true"/>
        </w:rPr>
        <w:t xml:space="preserve">חלקה </w:t>
      </w:r>
      <w:r>
        <w:rPr>
          <w:rFonts w:cs="David" w:ascii="David" w:hAnsi="David"/>
        </w:rPr>
        <w:t>53</w:t>
      </w:r>
      <w:r>
        <w:rPr>
          <w:rFonts w:cs="David" w:ascii="David" w:hAnsi="David"/>
          <w:rtl w:val="true"/>
        </w:rPr>
        <w:t xml:space="preserve"> </w:t>
      </w:r>
      <w:r>
        <w:rPr>
          <w:rFonts w:ascii="David" w:hAnsi="David" w:cs="David"/>
          <w:rtl w:val="true"/>
        </w:rPr>
        <w:t>תת</w:t>
      </w:r>
      <w:r>
        <w:rPr>
          <w:rFonts w:cs="David" w:ascii="David" w:hAnsi="David"/>
          <w:rtl w:val="true"/>
        </w:rPr>
        <w:t>-</w:t>
      </w:r>
      <w:r>
        <w:rPr>
          <w:rFonts w:ascii="David" w:hAnsi="David" w:cs="David"/>
          <w:rtl w:val="true"/>
        </w:rPr>
        <w:t xml:space="preserve">חלקה </w:t>
      </w:r>
      <w:r>
        <w:rPr>
          <w:rFonts w:cs="David" w:ascii="David" w:hAnsi="David"/>
        </w:rPr>
        <w:t>14</w:t>
      </w:r>
      <w:r>
        <w:rPr>
          <w:rFonts w:cs="David" w:ascii="David" w:hAnsi="David"/>
          <w:rtl w:val="true"/>
        </w:rPr>
        <w:t xml:space="preserve">, </w:t>
      </w:r>
      <w:r>
        <w:rPr>
          <w:rFonts w:ascii="David" w:hAnsi="David" w:cs="David"/>
          <w:rtl w:val="true"/>
        </w:rPr>
        <w:t>נוטרלה מהתחשיב בשל חריגותה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פרט לצורך בהבהרה ביחס לעסקה זו</w:t>
      </w:r>
      <w:r>
        <w:rPr>
          <w:rFonts w:cs="David" w:ascii="David" w:hAnsi="David"/>
          <w:rtl w:val="true"/>
        </w:rPr>
        <w:t xml:space="preserve">, </w:t>
      </w:r>
      <w:r>
        <w:rPr>
          <w:rFonts w:ascii="David" w:hAnsi="David" w:cs="David"/>
          <w:rtl w:val="true"/>
        </w:rPr>
        <w:t>לא מצאנו עילה להתערב במסד הנתונים ששימש את השמאית המכריעה או בקביעת השווי שנגזרה ממנו</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יש לזכור כי עסקאות ההשוואה אינן עומדות לבדן</w:t>
      </w:r>
      <w:r>
        <w:rPr>
          <w:rFonts w:cs="David" w:ascii="David" w:hAnsi="David"/>
          <w:rtl w:val="true"/>
        </w:rPr>
        <w:t xml:space="preserve">, </w:t>
      </w:r>
      <w:r>
        <w:rPr>
          <w:rFonts w:ascii="David" w:hAnsi="David" w:cs="David"/>
          <w:rtl w:val="true"/>
        </w:rPr>
        <w:t>אלא מהוות נדבך אחד מבין מספר נדבכים ששימשו בקביעת השווי</w:t>
      </w:r>
      <w:r>
        <w:rPr>
          <w:rFonts w:cs="David" w:ascii="David" w:hAnsi="David"/>
          <w:rtl w:val="true"/>
        </w:rPr>
        <w:t xml:space="preserve">. </w:t>
      </w:r>
      <w:r>
        <w:rPr>
          <w:rFonts w:ascii="David" w:hAnsi="David" w:cs="David"/>
          <w:rtl w:val="true"/>
        </w:rPr>
        <w:t>לפיכך</w:t>
      </w:r>
      <w:r>
        <w:rPr>
          <w:rFonts w:cs="David" w:ascii="David" w:hAnsi="David"/>
          <w:rtl w:val="true"/>
        </w:rPr>
        <w:t xml:space="preserve">, </w:t>
      </w:r>
      <w:r>
        <w:rPr>
          <w:rFonts w:ascii="David" w:hAnsi="David" w:cs="David"/>
          <w:rtl w:val="true"/>
        </w:rPr>
        <w:t>המשקל שניתן לרכיב זה מוגבל</w:t>
      </w:r>
      <w:r>
        <w:rPr>
          <w:rFonts w:cs="David" w:ascii="David" w:hAnsi="David"/>
          <w:rtl w:val="true"/>
        </w:rPr>
        <w:t xml:space="preserve">, </w:t>
      </w:r>
      <w:r>
        <w:rPr>
          <w:rFonts w:ascii="David" w:hAnsi="David" w:cs="David"/>
          <w:rtl w:val="true"/>
        </w:rPr>
        <w:t>והשווי הסופי נקבע על יסוד שקלולם של מכלול הנתונים שעמדו לפני השמאית המכריעה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אשר לטענות הוועדה המקומית בנוגע לרכיב השומות המכריעות</w:t>
      </w:r>
      <w:r>
        <w:rPr>
          <w:rFonts w:cs="David" w:ascii="David" w:hAnsi="David"/>
          <w:rtl w:val="true"/>
        </w:rPr>
        <w:t xml:space="preserve">, </w:t>
      </w:r>
      <w:r>
        <w:rPr>
          <w:rFonts w:ascii="David" w:hAnsi="David" w:cs="David"/>
          <w:rtl w:val="true"/>
        </w:rPr>
        <w:t>אף אם מועדן חורג מטווח של שנתיים מהמועד הקובע לתוכנית</w:t>
      </w:r>
      <w:r>
        <w:rPr>
          <w:rFonts w:cs="David" w:ascii="David" w:hAnsi="David"/>
          <w:rtl w:val="true"/>
        </w:rPr>
        <w:t xml:space="preserve">, </w:t>
      </w:r>
      <w:r>
        <w:rPr>
          <w:rFonts w:ascii="David" w:hAnsi="David" w:cs="David"/>
          <w:rtl w:val="true"/>
        </w:rPr>
        <w:t>אין בכך</w:t>
      </w:r>
      <w:r>
        <w:rPr>
          <w:rFonts w:cs="David" w:ascii="David" w:hAnsi="David"/>
          <w:rtl w:val="true"/>
        </w:rPr>
        <w:t xml:space="preserve">, </w:t>
      </w:r>
      <w:r>
        <w:rPr>
          <w:rFonts w:ascii="David" w:hAnsi="David" w:cs="David"/>
          <w:rtl w:val="true"/>
        </w:rPr>
        <w:t>כשלעצמו</w:t>
      </w:r>
      <w:r>
        <w:rPr>
          <w:rFonts w:cs="David" w:ascii="David" w:hAnsi="David"/>
          <w:rtl w:val="true"/>
        </w:rPr>
        <w:t xml:space="preserve">, </w:t>
      </w:r>
      <w:r>
        <w:rPr>
          <w:rFonts w:ascii="David" w:hAnsi="David" w:cs="David"/>
          <w:rtl w:val="true"/>
        </w:rPr>
        <w:t>כדי להצדיק את נטרולן ממסד הנתונים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הטעם לכך פשוט</w:t>
      </w:r>
      <w:r>
        <w:rPr>
          <w:rFonts w:cs="David" w:ascii="David" w:hAnsi="David"/>
          <w:rtl w:val="true"/>
        </w:rPr>
        <w:t xml:space="preserve">. </w:t>
      </w:r>
      <w:r>
        <w:rPr>
          <w:rFonts w:ascii="David" w:hAnsi="David" w:cs="David"/>
          <w:rtl w:val="true"/>
        </w:rPr>
        <w:t>לא נמצא פער של ממש בין ערכי השווי העולים משומות אלה</w:t>
      </w:r>
      <w:r>
        <w:rPr>
          <w:rFonts w:cs="David" w:ascii="David" w:hAnsi="David"/>
          <w:rtl w:val="true"/>
        </w:rPr>
        <w:t xml:space="preserve">, </w:t>
      </w:r>
      <w:r>
        <w:rPr>
          <w:rFonts w:ascii="David" w:hAnsi="David" w:cs="David"/>
          <w:rtl w:val="true"/>
        </w:rPr>
        <w:t>ואף לא הוצגה אינדיקציה לכך שפער הזמנים הוא בעל השפעה ממשית על התוצאה</w:t>
      </w:r>
      <w:r>
        <w:rPr>
          <w:rFonts w:cs="David" w:ascii="David" w:hAnsi="David"/>
          <w:rtl w:val="true"/>
        </w:rPr>
        <w:t xml:space="preserve">. </w:t>
      </w:r>
      <w:r>
        <w:rPr>
          <w:rFonts w:ascii="David" w:hAnsi="David" w:cs="David"/>
          <w:rtl w:val="true"/>
        </w:rPr>
        <w:t>בהיעדר נתון המלמד אחרת</w:t>
      </w:r>
      <w:r>
        <w:rPr>
          <w:rFonts w:cs="David" w:ascii="David" w:hAnsi="David"/>
          <w:rtl w:val="true"/>
        </w:rPr>
        <w:t xml:space="preserve">, </w:t>
      </w:r>
      <w:r>
        <w:rPr>
          <w:rFonts w:ascii="David" w:hAnsi="David" w:cs="David"/>
          <w:rtl w:val="true"/>
        </w:rPr>
        <w:t>עצם הריחוק במועד אינו מקים עילה לגריעת השומות מהתחשיב</w:t>
      </w:r>
      <w:r>
        <w:rPr>
          <w:rFonts w:cs="David" w:ascii="David" w:hAnsi="David"/>
          <w:rtl w:val="true"/>
        </w:rPr>
        <w:t xml:space="preserve">. </w:t>
      </w:r>
      <w:r>
        <w:rPr>
          <w:rFonts w:ascii="David" w:hAnsi="David" w:cs="David"/>
          <w:rtl w:val="true"/>
        </w:rPr>
        <w:t>משכך</w:t>
      </w:r>
      <w:r>
        <w:rPr>
          <w:rFonts w:cs="David" w:ascii="David" w:hAnsi="David"/>
          <w:rtl w:val="true"/>
        </w:rPr>
        <w:t xml:space="preserve">, </w:t>
      </w:r>
      <w:r>
        <w:rPr>
          <w:rFonts w:ascii="David" w:hAnsi="David" w:cs="David"/>
          <w:rtl w:val="true"/>
        </w:rPr>
        <w:t>לא מצאנו פגם בהסתמכות על רכיב זה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הוא הדין באשר למכרז שהוצג</w:t>
      </w:r>
      <w:r>
        <w:rPr>
          <w:rFonts w:cs="David" w:ascii="David" w:hAnsi="David"/>
          <w:rtl w:val="true"/>
        </w:rPr>
        <w:t xml:space="preserve">. </w:t>
      </w:r>
      <w:r>
        <w:rPr>
          <w:rFonts w:ascii="David" w:hAnsi="David" w:cs="David"/>
          <w:rtl w:val="true"/>
        </w:rPr>
        <w:t>אף אם קיימים הבדלים בין המכרז לבין התוכנית בכל הנוגע להיקף שטחי המסחר והמגורים</w:t>
      </w:r>
      <w:r>
        <w:rPr>
          <w:rFonts w:cs="David" w:ascii="David" w:hAnsi="David"/>
          <w:rtl w:val="true"/>
        </w:rPr>
        <w:t xml:space="preserve">, </w:t>
      </w:r>
      <w:r>
        <w:rPr>
          <w:rFonts w:ascii="David" w:hAnsi="David" w:cs="David"/>
          <w:rtl w:val="true"/>
        </w:rPr>
        <w:t>אין בנתון זה</w:t>
      </w:r>
      <w:r>
        <w:rPr>
          <w:rFonts w:cs="David" w:ascii="David" w:hAnsi="David"/>
          <w:rtl w:val="true"/>
        </w:rPr>
        <w:t xml:space="preserve">, </w:t>
      </w:r>
      <w:r>
        <w:rPr>
          <w:rFonts w:ascii="David" w:hAnsi="David" w:cs="David"/>
          <w:rtl w:val="true"/>
        </w:rPr>
        <w:t>כשלעצמו</w:t>
      </w:r>
      <w:r>
        <w:rPr>
          <w:rFonts w:cs="David" w:ascii="David" w:hAnsi="David"/>
          <w:rtl w:val="true"/>
        </w:rPr>
        <w:t xml:space="preserve">, </w:t>
      </w:r>
      <w:r>
        <w:rPr>
          <w:rFonts w:ascii="David" w:hAnsi="David" w:cs="David"/>
          <w:rtl w:val="true"/>
        </w:rPr>
        <w:t>כדי לשלול את הרלוונטיות של ערכי השווי הנלמדים ממנו</w:t>
      </w:r>
      <w:r>
        <w:rPr>
          <w:rFonts w:cs="David" w:ascii="David" w:hAnsi="David"/>
          <w:rtl w:val="true"/>
        </w:rPr>
        <w:t xml:space="preserve">. </w:t>
      </w:r>
      <w:r>
        <w:rPr>
          <w:rFonts w:ascii="David" w:hAnsi="David" w:cs="David"/>
          <w:rtl w:val="true"/>
        </w:rPr>
        <w:t>טענות הוועדה המקומית בעניין זה נטענו במישור הכללי</w:t>
      </w:r>
      <w:r>
        <w:rPr>
          <w:rFonts w:cs="David" w:ascii="David" w:hAnsi="David"/>
          <w:rtl w:val="true"/>
        </w:rPr>
        <w:t xml:space="preserve">, </w:t>
      </w:r>
      <w:r>
        <w:rPr>
          <w:rFonts w:ascii="David" w:hAnsi="David" w:cs="David"/>
          <w:rtl w:val="true"/>
        </w:rPr>
        <w:t>מבלי שהוצגה בחינה קונקרטית של ערכי השווי שנקבעו בשומות המכריעות אל מול אלה העולים מן המכרז</w:t>
      </w:r>
      <w:r>
        <w:rPr>
          <w:rFonts w:cs="David" w:ascii="David" w:hAnsi="David"/>
          <w:rtl w:val="true"/>
        </w:rPr>
        <w:t xml:space="preserve">. </w:t>
      </w:r>
      <w:r>
        <w:rPr>
          <w:rFonts w:ascii="David" w:hAnsi="David" w:cs="David"/>
          <w:rtl w:val="true"/>
        </w:rPr>
        <w:t>בהיעדר תשתית המצביעה על כך שהשוני האמור משליך באופן ממשי על ערכי השווי</w:t>
      </w:r>
      <w:r>
        <w:rPr>
          <w:rFonts w:cs="David" w:ascii="David" w:hAnsi="David"/>
          <w:rtl w:val="true"/>
        </w:rPr>
        <w:t xml:space="preserve">, </w:t>
      </w:r>
      <w:r>
        <w:rPr>
          <w:rFonts w:ascii="David" w:hAnsi="David" w:cs="David"/>
          <w:rtl w:val="true"/>
        </w:rPr>
        <w:t>לא מצאנו עילה להתערב אף ברכיב זה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אשר על כן</w:t>
      </w:r>
      <w:r>
        <w:rPr>
          <w:rFonts w:cs="David" w:ascii="David" w:hAnsi="David"/>
          <w:rtl w:val="true"/>
        </w:rPr>
        <w:t xml:space="preserve">, </w:t>
      </w:r>
      <w:r>
        <w:rPr>
          <w:rFonts w:ascii="David" w:hAnsi="David" w:cs="David"/>
          <w:rtl w:val="true"/>
        </w:rPr>
        <w:t xml:space="preserve">השמאית המכריעה תבהיר את הטעם להכללת העסקה שנערכה בגוש </w:t>
      </w:r>
      <w:r>
        <w:rPr>
          <w:rFonts w:cs="David" w:ascii="David" w:hAnsi="David"/>
        </w:rPr>
        <w:t>7928</w:t>
      </w:r>
      <w:r>
        <w:rPr>
          <w:rFonts w:cs="David" w:ascii="David" w:hAnsi="David"/>
          <w:rtl w:val="true"/>
        </w:rPr>
        <w:t xml:space="preserve"> </w:t>
      </w:r>
      <w:r>
        <w:rPr>
          <w:rFonts w:ascii="David" w:hAnsi="David" w:cs="David"/>
          <w:rtl w:val="true"/>
        </w:rPr>
        <w:t xml:space="preserve">חלקה </w:t>
      </w:r>
      <w:r>
        <w:rPr>
          <w:rFonts w:cs="David" w:ascii="David" w:hAnsi="David"/>
        </w:rPr>
        <w:t>22</w:t>
      </w:r>
      <w:r>
        <w:rPr>
          <w:rFonts w:cs="David" w:ascii="David" w:hAnsi="David"/>
          <w:rtl w:val="true"/>
        </w:rPr>
        <w:t xml:space="preserve"> </w:t>
      </w:r>
      <w:r>
        <w:rPr>
          <w:rFonts w:ascii="David" w:hAnsi="David" w:cs="David"/>
          <w:rtl w:val="true"/>
        </w:rPr>
        <w:t>במסד הנתונים</w:t>
      </w:r>
      <w:r>
        <w:rPr>
          <w:rFonts w:cs="David" w:ascii="David" w:hAnsi="David"/>
          <w:rtl w:val="true"/>
        </w:rPr>
        <w:t xml:space="preserve">, </w:t>
      </w:r>
      <w:r>
        <w:rPr>
          <w:rFonts w:ascii="David" w:hAnsi="David" w:cs="David"/>
          <w:rtl w:val="true"/>
        </w:rPr>
        <w:t>והוראות לעניין זה יפורטו בפרק המסכם</w:t>
      </w:r>
      <w:r>
        <w:rPr>
          <w:rFonts w:cs="David" w:ascii="David" w:hAnsi="David"/>
          <w:rtl w:val="true"/>
        </w:rPr>
        <w:t xml:space="preserve">. </w:t>
      </w:r>
    </w:p>
    <w:p>
      <w:pPr>
        <w:pStyle w:val="Ruller43"/>
        <w:suppressLineNumbers/>
        <w:spacing w:before="240" w:after="240"/>
        <w:ind w:start="510" w:end="0"/>
        <w:jc w:val="both"/>
        <w:rPr>
          <w:rFonts w:ascii="Miriam" w:hAnsi="Miriam" w:cs="Miriam"/>
        </w:rPr>
      </w:pPr>
      <w:r>
        <w:rPr>
          <w:rFonts w:ascii="Miriam" w:hAnsi="Miriam" w:cs="Miriam"/>
          <w:rtl w:val="true"/>
        </w:rPr>
        <w:t>התחשבות בתרומתה של תמ</w:t>
      </w:r>
      <w:r>
        <w:rPr>
          <w:rFonts w:cs="Miriam" w:ascii="Miriam" w:hAnsi="Miriam"/>
          <w:rtl w:val="true"/>
        </w:rPr>
        <w:t>"</w:t>
      </w:r>
      <w:r>
        <w:rPr>
          <w:rFonts w:ascii="Miriam" w:hAnsi="Miriam" w:cs="Miriam"/>
          <w:rtl w:val="true"/>
        </w:rPr>
        <w:t xml:space="preserve">א </w:t>
      </w:r>
      <w:r>
        <w:rPr>
          <w:rFonts w:cs="Miriam" w:ascii="Miriam" w:hAnsi="Miriam"/>
        </w:rPr>
        <w:t>38</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סוגיית ההתחשבות בפוטנציאל תכנוני שמקורו בתמ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r>
        <w:rPr>
          <w:rFonts w:ascii="David" w:hAnsi="David" w:cs="David"/>
          <w:rtl w:val="true"/>
        </w:rPr>
        <w:t>עמדה במוקד ערעורים שהוכרעו בבית המשפט העליון לאחר שניתנו השומות המכריעות</w:t>
      </w:r>
      <w:r>
        <w:rPr>
          <w:rFonts w:cs="David" w:ascii="David" w:hAnsi="David"/>
          <w:rtl w:val="true"/>
        </w:rPr>
        <w:t xml:space="preserve">, </w:t>
      </w:r>
      <w:r>
        <w:rPr>
          <w:rFonts w:ascii="David" w:hAnsi="David" w:cs="David"/>
          <w:rtl w:val="true"/>
        </w:rPr>
        <w:t xml:space="preserve">במסגרת </w:t>
      </w:r>
      <w:r>
        <w:rPr>
          <w:rFonts w:ascii="Miriam" w:hAnsi="Miriam" w:cs="Miriam"/>
          <w:rtl w:val="true"/>
        </w:rPr>
        <w:t>עניין לויתן</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באותו עניין נקבע</w:t>
      </w:r>
      <w:r>
        <w:rPr>
          <w:rFonts w:cs="David" w:ascii="David" w:hAnsi="David"/>
          <w:rtl w:val="true"/>
        </w:rPr>
        <w:t xml:space="preserve">, </w:t>
      </w:r>
      <w:r>
        <w:rPr>
          <w:rFonts w:ascii="David" w:hAnsi="David" w:cs="David"/>
          <w:rtl w:val="true"/>
        </w:rPr>
        <w:t>במישור העקרוני</w:t>
      </w:r>
      <w:r>
        <w:rPr>
          <w:rFonts w:cs="David" w:ascii="David" w:hAnsi="David"/>
          <w:rtl w:val="true"/>
        </w:rPr>
        <w:t xml:space="preserve">, </w:t>
      </w:r>
      <w:r>
        <w:rPr>
          <w:rFonts w:ascii="David" w:hAnsi="David" w:cs="David"/>
          <w:rtl w:val="true"/>
        </w:rPr>
        <w:t>כי מקום שבו מימוש הזכויות נעשה בדרך של מכר</w:t>
      </w:r>
      <w:r>
        <w:rPr>
          <w:rFonts w:cs="David" w:ascii="David" w:hAnsi="David"/>
          <w:rtl w:val="true"/>
        </w:rPr>
        <w:t xml:space="preserve">, </w:t>
      </w:r>
      <w:r>
        <w:rPr>
          <w:rFonts w:ascii="David" w:hAnsi="David" w:cs="David"/>
          <w:rtl w:val="true"/>
        </w:rPr>
        <w:t xml:space="preserve">אין לנטרל משווי המקרקעין במצב התכנוני הקודם את עליית הערך שמקורה בתוכנית המתאר הארצית לחיזוק מבנים מפני רעידות אדמה </w:t>
      </w:r>
      <w:r>
        <w:rPr>
          <w:rFonts w:cs="David" w:ascii="David" w:hAnsi="David"/>
          <w:rtl w:val="true"/>
        </w:rPr>
        <w:t>(</w:t>
      </w:r>
      <w:r>
        <w:rPr>
          <w:rFonts w:ascii="David" w:hAnsi="David" w:cs="David"/>
          <w:rtl w:val="true"/>
        </w:rPr>
        <w:t>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היקף תחולתו ודרך יישומו של כלל זה טרם זכו לבירור ממצה בפסיקה</w:t>
      </w:r>
      <w:r>
        <w:rPr>
          <w:rFonts w:cs="David" w:ascii="David" w:hAnsi="David"/>
          <w:rtl w:val="true"/>
        </w:rPr>
        <w:t xml:space="preserve">. </w:t>
      </w:r>
      <w:r>
        <w:rPr>
          <w:rFonts w:ascii="David" w:hAnsi="David" w:cs="David"/>
          <w:rtl w:val="true"/>
        </w:rPr>
        <w:t>הקושי המרכזי בהקשר זה נעוץ בהבחנה בין עליית ערך שמקורה בתמ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r>
        <w:rPr>
          <w:rFonts w:ascii="David" w:hAnsi="David" w:cs="David"/>
          <w:rtl w:val="true"/>
        </w:rPr>
        <w:t>לבין עליית ערך הנובעת ממגמות תכנוניות כלליות באזור אשר מגולמות בשווי השוק המשתקף בעסקאות ההשוואה שעל יסודן הוערך שווי המקרקעין</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קושי נוסף</w:t>
      </w:r>
      <w:r>
        <w:rPr>
          <w:rFonts w:cs="David" w:ascii="David" w:hAnsi="David"/>
          <w:rtl w:val="true"/>
        </w:rPr>
        <w:t xml:space="preserve">, </w:t>
      </w:r>
      <w:r>
        <w:rPr>
          <w:rFonts w:ascii="David" w:hAnsi="David" w:cs="David"/>
          <w:rtl w:val="true"/>
        </w:rPr>
        <w:t>ולא מבוטל</w:t>
      </w:r>
      <w:r>
        <w:rPr>
          <w:rFonts w:cs="David" w:ascii="David" w:hAnsi="David"/>
          <w:rtl w:val="true"/>
        </w:rPr>
        <w:t xml:space="preserve">, </w:t>
      </w:r>
      <w:r>
        <w:rPr>
          <w:rFonts w:ascii="David" w:hAnsi="David" w:cs="David"/>
          <w:rtl w:val="true"/>
        </w:rPr>
        <w:t>טמון בעצם הניסיון לכמת את שוויה של הציפייה למימוש זכויות בנייה מכוח 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r>
        <w:rPr>
          <w:rFonts w:ascii="David" w:hAnsi="David" w:cs="David"/>
          <w:rtl w:val="true"/>
        </w:rPr>
        <w:t>מטבע הדברים</w:t>
      </w:r>
      <w:r>
        <w:rPr>
          <w:rFonts w:cs="David" w:ascii="David" w:hAnsi="David"/>
          <w:rtl w:val="true"/>
        </w:rPr>
        <w:t xml:space="preserve">, </w:t>
      </w:r>
      <w:r>
        <w:rPr>
          <w:rFonts w:ascii="David" w:hAnsi="David" w:cs="David"/>
          <w:rtl w:val="true"/>
        </w:rPr>
        <w:t>עסקינן בערך המבוסס על ציפייה אשר מימושה אינו ודאי</w:t>
      </w:r>
      <w:r>
        <w:rPr>
          <w:rFonts w:cs="David" w:ascii="David" w:hAnsi="David"/>
          <w:rtl w:val="true"/>
        </w:rPr>
        <w:t xml:space="preserve">, </w:t>
      </w:r>
      <w:r>
        <w:rPr>
          <w:rFonts w:ascii="David" w:hAnsi="David" w:cs="David"/>
          <w:rtl w:val="true"/>
        </w:rPr>
        <w:t>ועל כן הוא עשוי להשתנות בהתאם למאפייני האזור שבו מצוי הנכס</w:t>
      </w:r>
      <w:r>
        <w:rPr>
          <w:rFonts w:cs="David" w:ascii="David" w:hAnsi="David"/>
          <w:rtl w:val="true"/>
        </w:rPr>
        <w:t xml:space="preserve">, </w:t>
      </w:r>
      <w:r>
        <w:rPr>
          <w:rFonts w:ascii="David" w:hAnsi="David" w:cs="David"/>
          <w:rtl w:val="true"/>
        </w:rPr>
        <w:t>למועד הקובע ולנסיבות התכנוניות ששררו באותה עת</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על מנת להתמודד עם קשיים אלה ואחרים</w:t>
      </w:r>
      <w:r>
        <w:rPr>
          <w:rFonts w:cs="David" w:ascii="David" w:hAnsi="David"/>
          <w:rtl w:val="true"/>
        </w:rPr>
        <w:t xml:space="preserve">, </w:t>
      </w:r>
      <w:r>
        <w:rPr>
          <w:rFonts w:ascii="David" w:hAnsi="David" w:cs="David"/>
          <w:rtl w:val="true"/>
        </w:rPr>
        <w:t>נקבעה מתודולוגיה שנועדה לאפשר בקרה אפקטיבית על הנתונים</w:t>
      </w:r>
      <w:r>
        <w:rPr>
          <w:rFonts w:cs="David" w:ascii="David" w:hAnsi="David"/>
          <w:rtl w:val="true"/>
        </w:rPr>
        <w:t xml:space="preserve">, </w:t>
      </w:r>
      <w:r>
        <w:rPr>
          <w:rFonts w:ascii="David" w:hAnsi="David" w:cs="David"/>
          <w:rtl w:val="true"/>
        </w:rPr>
        <w:t>ההנחות והשיקולים שביסוד השומה</w:t>
      </w:r>
      <w:r>
        <w:rPr>
          <w:rFonts w:cs="David" w:ascii="David" w:hAnsi="David"/>
          <w:rtl w:val="true"/>
        </w:rPr>
        <w:t xml:space="preserve">, </w:t>
      </w:r>
      <w:r>
        <w:rPr>
          <w:rFonts w:ascii="David" w:hAnsi="David" w:cs="David"/>
          <w:rtl w:val="true"/>
        </w:rPr>
        <w:t>ובכך להבטיח</w:t>
      </w:r>
      <w:r>
        <w:rPr>
          <w:rFonts w:cs="David" w:ascii="David" w:hAnsi="David"/>
          <w:rtl w:val="true"/>
        </w:rPr>
        <w:t xml:space="preserve">, </w:t>
      </w:r>
      <w:r>
        <w:rPr>
          <w:rFonts w:ascii="David" w:hAnsi="David" w:cs="David"/>
          <w:rtl w:val="true"/>
        </w:rPr>
        <w:t>ככל הניתן</w:t>
      </w:r>
      <w:r>
        <w:rPr>
          <w:rFonts w:cs="David" w:ascii="David" w:hAnsi="David"/>
          <w:rtl w:val="true"/>
        </w:rPr>
        <w:t xml:space="preserve">, </w:t>
      </w:r>
      <w:r>
        <w:rPr>
          <w:rFonts w:ascii="David" w:hAnsi="David" w:cs="David"/>
          <w:rtl w:val="true"/>
        </w:rPr>
        <w:t>כי הערכת השווי תושתת על תשתית מקצועית</w:t>
      </w:r>
      <w:r>
        <w:rPr>
          <w:rFonts w:cs="David" w:ascii="David" w:hAnsi="David"/>
          <w:rtl w:val="true"/>
        </w:rPr>
        <w:t xml:space="preserve">, </w:t>
      </w:r>
      <w:r>
        <w:rPr>
          <w:rFonts w:ascii="David" w:hAnsi="David" w:cs="David"/>
          <w:rtl w:val="true"/>
        </w:rPr>
        <w:t>סדורה ומהימנה</w:t>
      </w:r>
      <w:r>
        <w:rPr>
          <w:rFonts w:cs="David" w:ascii="David" w:hAnsi="David"/>
          <w:color w:val="000000"/>
          <w:sz w:val="28"/>
          <w:shd w:fill="FFFFFF" w:val="clear"/>
          <w:rtl w:val="true"/>
        </w:rPr>
        <w:t>.</w:t>
      </w:r>
      <w:r>
        <w:rPr>
          <w:rFonts w:cs="David" w:ascii="David" w:hAnsi="David"/>
          <w:rtl w:val="true"/>
        </w:rPr>
        <w:t xml:space="preserve"> </w:t>
      </w:r>
      <w:r>
        <w:rPr>
          <w:rFonts w:ascii="David" w:hAnsi="David" w:cs="David"/>
          <w:rtl w:val="true"/>
        </w:rPr>
        <w:t>ראו</w:t>
      </w:r>
      <w:r>
        <w:rPr>
          <w:rFonts w:cs="David" w:ascii="David" w:hAnsi="David"/>
          <w:rtl w:val="true"/>
        </w:rPr>
        <w:t xml:space="preserve">: </w:t>
      </w:r>
      <w:r>
        <w:rPr>
          <w:rFonts w:ascii="David" w:hAnsi="David" w:cs="David"/>
          <w:rtl w:val="true"/>
        </w:rPr>
        <w:t xml:space="preserve">ערר </w:t>
      </w:r>
      <w:r>
        <w:rPr>
          <w:rFonts w:cs="David" w:ascii="David" w:hAnsi="David"/>
          <w:rtl w:val="true"/>
        </w:rPr>
        <w:t>(</w:t>
      </w:r>
      <w:r>
        <w:rPr>
          <w:rFonts w:ascii="David" w:hAnsi="David" w:cs="David"/>
          <w:rtl w:val="true"/>
        </w:rPr>
        <w:t xml:space="preserve">ועדות ערר </w:t>
      </w:r>
      <w:r>
        <w:rPr>
          <w:rFonts w:cs="David" w:ascii="David" w:hAnsi="David"/>
          <w:rtl w:val="true"/>
        </w:rPr>
        <w:t xml:space="preserve">- </w:t>
      </w:r>
      <w:r>
        <w:rPr>
          <w:rFonts w:ascii="David" w:hAnsi="David" w:cs="David"/>
          <w:rtl w:val="true"/>
        </w:rPr>
        <w:t>תכנון ובנייה מרכז</w:t>
      </w:r>
      <w:r>
        <w:rPr>
          <w:rFonts w:cs="David" w:ascii="David" w:hAnsi="David"/>
          <w:rtl w:val="true"/>
        </w:rPr>
        <w:t xml:space="preserve">) </w:t>
      </w:r>
      <w:r>
        <w:rPr>
          <w:rFonts w:cs="David" w:ascii="David" w:hAnsi="David"/>
        </w:rPr>
        <w:t>8004-01-25</w:t>
      </w:r>
      <w:r>
        <w:rPr>
          <w:rFonts w:cs="David" w:ascii="David" w:hAnsi="David"/>
          <w:rtl w:val="true"/>
        </w:rPr>
        <w:t xml:space="preserve"> </w:t>
      </w:r>
      <w:r>
        <w:rPr>
          <w:rFonts w:ascii="Miriam" w:hAnsi="Miriam" w:cs="Miriam"/>
          <w:rtl w:val="true"/>
        </w:rPr>
        <w:t>הוועדה המקומית לתכנון ובנייה פתח תקווה נ</w:t>
      </w:r>
      <w:r>
        <w:rPr>
          <w:rFonts w:cs="Miriam" w:ascii="Miriam" w:hAnsi="Miriam"/>
          <w:rtl w:val="true"/>
        </w:rPr>
        <w:t xml:space="preserve">' </w:t>
      </w:r>
      <w:r>
        <w:rPr>
          <w:rFonts w:ascii="Miriam" w:hAnsi="Miriam" w:cs="Miriam"/>
          <w:rtl w:val="true"/>
        </w:rPr>
        <w:t>חברת לב העיר בלפור חפץ חיים פ</w:t>
      </w:r>
      <w:r>
        <w:rPr>
          <w:rFonts w:cs="Miriam" w:ascii="Miriam" w:hAnsi="Miriam"/>
          <w:rtl w:val="true"/>
        </w:rPr>
        <w:t>"</w:t>
      </w:r>
      <w:r>
        <w:rPr>
          <w:rFonts w:ascii="Miriam" w:hAnsi="Miriam" w:cs="Miriam"/>
          <w:rtl w:val="true"/>
        </w:rPr>
        <w:t>ת בע</w:t>
      </w:r>
      <w:r>
        <w:rPr>
          <w:rFonts w:cs="Miriam" w:ascii="Miriam" w:hAnsi="Miriam"/>
          <w:rtl w:val="true"/>
        </w:rPr>
        <w:t>"</w:t>
      </w:r>
      <w:r>
        <w:rPr>
          <w:rFonts w:ascii="Miriam" w:hAnsi="Miriam" w:cs="Miriam"/>
          <w:rtl w:val="true"/>
        </w:rPr>
        <w:t>מ</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1.2.2026</w:t>
      </w:r>
      <w:r>
        <w:rPr>
          <w:rFonts w:cs="David" w:ascii="David" w:hAnsi="David"/>
          <w:rtl w:val="true"/>
        </w:rPr>
        <w:t>) (</w:t>
      </w:r>
      <w:r>
        <w:rPr>
          <w:rFonts w:ascii="David" w:hAnsi="David" w:cs="David"/>
          <w:rtl w:val="true"/>
        </w:rPr>
        <w:t>להלן</w:t>
      </w:r>
      <w:r>
        <w:rPr>
          <w:rFonts w:cs="David" w:ascii="David" w:hAnsi="David"/>
          <w:rtl w:val="true"/>
        </w:rPr>
        <w:t xml:space="preserve">: </w:t>
      </w:r>
      <w:r>
        <w:rPr>
          <w:rFonts w:ascii="Miriam" w:hAnsi="Miriam" w:cs="Miriam"/>
          <w:rtl w:val="true"/>
        </w:rPr>
        <w:t>עניין</w:t>
      </w:r>
      <w:r>
        <w:rPr>
          <w:rFonts w:ascii="David" w:hAnsi="David" w:cs="David"/>
          <w:rtl w:val="true"/>
        </w:rPr>
        <w:t xml:space="preserve"> </w:t>
      </w:r>
      <w:r>
        <w:rPr>
          <w:rFonts w:ascii="Miriam" w:hAnsi="Miriam" w:cs="Miriam"/>
          <w:rtl w:val="true"/>
        </w:rPr>
        <w:t>חברת לב העיר בלפור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בהקשר זה הוצעו שתי דרכי בחינה</w:t>
      </w:r>
      <w:r>
        <w:rPr>
          <w:rFonts w:cs="David" w:ascii="David" w:hAnsi="David"/>
          <w:rtl w:val="true"/>
        </w:rPr>
        <w:t xml:space="preserve">. </w:t>
      </w:r>
      <w:r>
        <w:rPr>
          <w:rFonts w:ascii="David" w:hAnsi="David" w:cs="David"/>
          <w:rtl w:val="true"/>
        </w:rPr>
        <w:t xml:space="preserve">האחת מבוססת על מחירי דירות בבניינים שנבנו משנת </w:t>
      </w:r>
      <w:r>
        <w:rPr>
          <w:rFonts w:cs="David" w:ascii="David" w:hAnsi="David"/>
        </w:rPr>
        <w:t>1980</w:t>
      </w:r>
      <w:r>
        <w:rPr>
          <w:rFonts w:cs="David" w:ascii="David" w:hAnsi="David"/>
          <w:rtl w:val="true"/>
        </w:rPr>
        <w:t xml:space="preserve"> </w:t>
      </w:r>
      <w:r>
        <w:rPr>
          <w:rFonts w:ascii="David" w:hAnsi="David" w:cs="David"/>
          <w:rtl w:val="true"/>
        </w:rPr>
        <w:t>ואילך</w:t>
      </w:r>
      <w:r>
        <w:rPr>
          <w:rFonts w:cs="David" w:ascii="David" w:hAnsi="David"/>
          <w:rtl w:val="true"/>
        </w:rPr>
        <w:t xml:space="preserve">, </w:t>
      </w:r>
      <w:r>
        <w:rPr>
          <w:rFonts w:ascii="David" w:hAnsi="David" w:cs="David"/>
          <w:rtl w:val="true"/>
        </w:rPr>
        <w:t xml:space="preserve">מתוך מטרה לאמוד </w:t>
      </w:r>
      <w:r>
        <w:rPr>
          <w:rFonts w:cs="David" w:ascii="David" w:hAnsi="David"/>
          <w:rtl w:val="true"/>
        </w:rPr>
        <w:t>"</w:t>
      </w:r>
      <w:r>
        <w:rPr>
          <w:rFonts w:ascii="David" w:hAnsi="David" w:cs="David"/>
          <w:rtl w:val="true"/>
        </w:rPr>
        <w:t>שווי נקי</w:t>
      </w:r>
      <w:r>
        <w:rPr>
          <w:rFonts w:cs="David" w:ascii="David" w:hAnsi="David"/>
          <w:rtl w:val="true"/>
        </w:rPr>
        <w:t xml:space="preserve">" </w:t>
      </w:r>
      <w:r>
        <w:rPr>
          <w:rFonts w:ascii="David" w:hAnsi="David" w:cs="David"/>
          <w:rtl w:val="true"/>
        </w:rPr>
        <w:t>שאינו כולל את רכיב הפוטנציאל שמקורו בתמ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והשנייה היא גישת החילוץ</w:t>
      </w:r>
      <w:r>
        <w:rPr>
          <w:rFonts w:cs="David" w:ascii="David" w:hAnsi="David"/>
          <w:rtl w:val="true"/>
        </w:rPr>
        <w:t xml:space="preserve">. </w:t>
      </w:r>
      <w:r>
        <w:rPr>
          <w:rFonts w:ascii="David" w:hAnsi="David" w:cs="David"/>
          <w:rtl w:val="true"/>
        </w:rPr>
        <w:t>לפי גישה זו</w:t>
      </w:r>
      <w:r>
        <w:rPr>
          <w:rFonts w:cs="David" w:ascii="David" w:hAnsi="David"/>
          <w:rtl w:val="true"/>
        </w:rPr>
        <w:t xml:space="preserve">, </w:t>
      </w:r>
      <w:r>
        <w:rPr>
          <w:rFonts w:ascii="David" w:hAnsi="David" w:cs="David"/>
          <w:rtl w:val="true"/>
        </w:rPr>
        <w:t>ניתן לאמוד את רכיב הפוטנציאל התכנוני הגלום בתמ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r>
        <w:rPr>
          <w:rFonts w:ascii="David" w:hAnsi="David" w:cs="David"/>
          <w:rtl w:val="true"/>
        </w:rPr>
        <w:t>באמצעות השוואת יתרת השווי לקרקע בין שתי קבוצות עסקאות</w:t>
      </w:r>
      <w:r>
        <w:rPr>
          <w:rFonts w:cs="David" w:ascii="David" w:hAnsi="David"/>
          <w:rtl w:val="true"/>
        </w:rPr>
        <w:t xml:space="preserve">: </w:t>
      </w:r>
      <w:r>
        <w:rPr>
          <w:rFonts w:ascii="David" w:hAnsi="David" w:cs="David"/>
          <w:rtl w:val="true"/>
        </w:rPr>
        <w:t>האחת</w:t>
      </w:r>
      <w:r>
        <w:rPr>
          <w:rFonts w:cs="David" w:ascii="David" w:hAnsi="David"/>
          <w:rtl w:val="true"/>
        </w:rPr>
        <w:t xml:space="preserve">, </w:t>
      </w:r>
      <w:r>
        <w:rPr>
          <w:rFonts w:ascii="David" w:hAnsi="David" w:cs="David"/>
          <w:rtl w:val="true"/>
        </w:rPr>
        <w:t>עסקאות בנכסים המצויים בבניינים העומדים בתנאי הסף למימוש זכויות מכוח 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r>
        <w:rPr>
          <w:rFonts w:ascii="David" w:hAnsi="David" w:cs="David"/>
          <w:rtl w:val="true"/>
        </w:rPr>
        <w:t>והשנייה</w:t>
      </w:r>
      <w:r>
        <w:rPr>
          <w:rFonts w:cs="David" w:ascii="David" w:hAnsi="David"/>
          <w:rtl w:val="true"/>
        </w:rPr>
        <w:t xml:space="preserve">, </w:t>
      </w:r>
      <w:r>
        <w:rPr>
          <w:rFonts w:ascii="David" w:hAnsi="David" w:cs="David"/>
          <w:rtl w:val="true"/>
        </w:rPr>
        <w:t>עסקאות בנכסים המצויים בבניינים שאינם עומדים בתנאים אלה</w:t>
      </w:r>
      <w:r>
        <w:rPr>
          <w:rFonts w:cs="David" w:ascii="David" w:hAnsi="David"/>
          <w:rtl w:val="true"/>
        </w:rPr>
        <w:t xml:space="preserve">, </w:t>
      </w:r>
      <w:r>
        <w:rPr>
          <w:rFonts w:ascii="David" w:hAnsi="David" w:cs="David"/>
          <w:rtl w:val="true"/>
        </w:rPr>
        <w:t xml:space="preserve">ואשר נבנו בסמוך ככל הניתן לשנת </w:t>
      </w:r>
      <w:r>
        <w:rPr>
          <w:rFonts w:cs="David" w:ascii="David" w:hAnsi="David"/>
        </w:rPr>
        <w:t>1980</w:t>
      </w:r>
      <w:r>
        <w:rPr>
          <w:rFonts w:cs="David" w:ascii="David" w:hAnsi="David"/>
          <w:color w:val="000000"/>
          <w:sz w:val="28"/>
          <w:shd w:fill="FFFFFF" w:val="clear"/>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 xml:space="preserve">להרחבה באשר לכל אחת מן הגישות ראו </w:t>
      </w:r>
      <w:r>
        <w:rPr>
          <w:rFonts w:ascii="Miriam" w:hAnsi="Miriam" w:cs="Miriam"/>
          <w:rtl w:val="true"/>
        </w:rPr>
        <w:t>עניין</w:t>
      </w:r>
      <w:r>
        <w:rPr>
          <w:rFonts w:ascii="David" w:hAnsi="David" w:cs="David"/>
          <w:rtl w:val="true"/>
        </w:rPr>
        <w:t xml:space="preserve"> </w:t>
      </w:r>
      <w:r>
        <w:rPr>
          <w:rFonts w:ascii="Miriam" w:hAnsi="Miriam" w:cs="Miriam"/>
          <w:rtl w:val="true"/>
        </w:rPr>
        <w:t>חברת לב העיר בלפור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לטעמנו</w:t>
      </w:r>
      <w:r>
        <w:rPr>
          <w:rFonts w:cs="David" w:ascii="David" w:hAnsi="David"/>
          <w:rtl w:val="true"/>
        </w:rPr>
        <w:t xml:space="preserve">, </w:t>
      </w:r>
      <w:r>
        <w:rPr>
          <w:rFonts w:ascii="David" w:hAnsi="David" w:cs="David"/>
          <w:rtl w:val="true"/>
        </w:rPr>
        <w:t xml:space="preserve">יישום ראוי וזהיר של </w:t>
      </w:r>
      <w:r>
        <w:rPr>
          <w:rFonts w:ascii="Miriam" w:hAnsi="Miriam" w:cs="Miriam"/>
          <w:rtl w:val="true"/>
        </w:rPr>
        <w:t>הלכת לויתן</w:t>
      </w:r>
      <w:r>
        <w:rPr>
          <w:rFonts w:ascii="David" w:hAnsi="David" w:cs="David"/>
          <w:rtl w:val="true"/>
        </w:rPr>
        <w:t xml:space="preserve"> מחייב מתודה המאפשרת בקרה אפקטיבית על הנתונים</w:t>
      </w:r>
      <w:r>
        <w:rPr>
          <w:rFonts w:cs="David" w:ascii="David" w:hAnsi="David"/>
          <w:rtl w:val="true"/>
        </w:rPr>
        <w:t xml:space="preserve">, </w:t>
      </w:r>
      <w:r>
        <w:rPr>
          <w:rFonts w:ascii="David" w:hAnsi="David" w:cs="David"/>
          <w:rtl w:val="true"/>
        </w:rPr>
        <w:t>ההנחות והתחשיבים שביסוד השומה</w:t>
      </w:r>
      <w:r>
        <w:rPr>
          <w:rFonts w:cs="David" w:ascii="David" w:hAnsi="David"/>
          <w:rtl w:val="true"/>
        </w:rPr>
        <w:t xml:space="preserve">. </w:t>
      </w:r>
      <w:r>
        <w:rPr>
          <w:rFonts w:ascii="David" w:hAnsi="David" w:cs="David"/>
          <w:rtl w:val="true"/>
        </w:rPr>
        <w:t>מענה לכך מצוי</w:t>
      </w:r>
      <w:r>
        <w:rPr>
          <w:rFonts w:cs="David" w:ascii="David" w:hAnsi="David"/>
          <w:rtl w:val="true"/>
        </w:rPr>
        <w:t xml:space="preserve">, </w:t>
      </w:r>
      <w:r>
        <w:rPr>
          <w:rFonts w:ascii="David" w:hAnsi="David" w:cs="David"/>
          <w:rtl w:val="true"/>
        </w:rPr>
        <w:t>לשיטתנו</w:t>
      </w:r>
      <w:r>
        <w:rPr>
          <w:rFonts w:cs="David" w:ascii="David" w:hAnsi="David"/>
          <w:rtl w:val="true"/>
        </w:rPr>
        <w:t xml:space="preserve">, </w:t>
      </w:r>
      <w:r>
        <w:rPr>
          <w:rFonts w:ascii="David" w:hAnsi="David" w:cs="David"/>
          <w:rtl w:val="true"/>
        </w:rPr>
        <w:t xml:space="preserve">באחת מן הגישות שהותוו </w:t>
      </w:r>
      <w:r>
        <w:rPr>
          <w:rFonts w:ascii="Miriam" w:hAnsi="Miriam" w:cs="Miriam"/>
          <w:rtl w:val="true"/>
        </w:rPr>
        <w:t>בעניין</w:t>
      </w:r>
      <w:r>
        <w:rPr>
          <w:rFonts w:ascii="David" w:hAnsi="David" w:cs="David"/>
          <w:rtl w:val="true"/>
        </w:rPr>
        <w:t xml:space="preserve"> </w:t>
      </w:r>
      <w:r>
        <w:rPr>
          <w:rFonts w:ascii="Miriam" w:hAnsi="Miriam" w:cs="Miriam"/>
          <w:rtl w:val="true"/>
        </w:rPr>
        <w:t>חברת לב העיר בלפור</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השמאית המכריעה תידרש לשוב ולהעריך את שווי המקרקעין מושא העררים במצב התכנוני הקודם</w:t>
      </w:r>
      <w:r>
        <w:rPr>
          <w:rFonts w:cs="David" w:ascii="David" w:hAnsi="David"/>
          <w:rtl w:val="true"/>
        </w:rPr>
        <w:t xml:space="preserve">, </w:t>
      </w:r>
      <w:bookmarkStart w:id="11" w:name="_Hlk240315582"/>
      <w:r>
        <w:rPr>
          <w:rFonts w:ascii="David" w:hAnsi="David" w:cs="David"/>
          <w:rtl w:val="true"/>
        </w:rPr>
        <w:t>והוראות לעניין זה יפורטו בפרק המסכם</w:t>
      </w:r>
      <w:bookmarkEnd w:id="11"/>
      <w:r>
        <w:rPr>
          <w:rFonts w:cs="David" w:ascii="David" w:hAnsi="David"/>
          <w:rtl w:val="true"/>
        </w:rPr>
        <w:t xml:space="preserve">. </w:t>
      </w:r>
    </w:p>
    <w:p>
      <w:pPr>
        <w:pStyle w:val="Ruller43"/>
        <w:suppressLineNumbers/>
        <w:spacing w:before="240" w:after="240"/>
        <w:ind w:start="510" w:end="0"/>
        <w:jc w:val="both"/>
        <w:rPr>
          <w:rFonts w:ascii="Miriam" w:hAnsi="Miriam" w:cs="Miriam"/>
        </w:rPr>
      </w:pPr>
      <w:r>
        <w:rPr>
          <w:rFonts w:ascii="Miriam" w:hAnsi="Miriam" w:cs="Miriam"/>
          <w:rtl w:val="true"/>
        </w:rPr>
        <w:t>סוף דבר</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לפנינו שומות מכריעות מפורטות ומנומקות</w:t>
      </w:r>
      <w:r>
        <w:rPr>
          <w:rFonts w:cs="David" w:ascii="David" w:hAnsi="David"/>
          <w:rtl w:val="true"/>
        </w:rPr>
        <w:t xml:space="preserve">, </w:t>
      </w:r>
      <w:r>
        <w:rPr>
          <w:rFonts w:ascii="David" w:hAnsi="David" w:cs="David"/>
          <w:rtl w:val="true"/>
        </w:rPr>
        <w:t>המבוססות על מסד נתונים סדור וברור</w:t>
      </w:r>
      <w:r>
        <w:rPr>
          <w:rFonts w:cs="David" w:ascii="David" w:hAnsi="David"/>
          <w:rtl w:val="true"/>
        </w:rPr>
        <w:t xml:space="preserve">. </w:t>
      </w:r>
      <w:r>
        <w:rPr>
          <w:rFonts w:ascii="David" w:hAnsi="David" w:cs="David"/>
          <w:rtl w:val="true"/>
        </w:rPr>
        <w:t>לא מצאנו בטענות הצדדים עילה המצדיקה התערבות בקביעותיה של השמאית המכריעה</w:t>
      </w:r>
      <w:r>
        <w:rPr>
          <w:rFonts w:cs="David" w:ascii="David" w:hAnsi="David"/>
          <w:rtl w:val="true"/>
        </w:rPr>
        <w:t xml:space="preserve">, </w:t>
      </w:r>
      <w:r>
        <w:rPr>
          <w:rFonts w:ascii="David" w:hAnsi="David" w:cs="David"/>
          <w:rtl w:val="true"/>
        </w:rPr>
        <w:t>למעט בנקודות שעליהן נעמוד להלן</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בהתאם לעקרונות שעליהם עמדנו בהחלטה זו</w:t>
      </w:r>
      <w:r>
        <w:rPr>
          <w:rFonts w:cs="David" w:ascii="David" w:hAnsi="David"/>
          <w:rtl w:val="true"/>
        </w:rPr>
        <w:t xml:space="preserve">, </w:t>
      </w:r>
      <w:r>
        <w:rPr>
          <w:rFonts w:ascii="David" w:hAnsi="David" w:cs="David"/>
          <w:rtl w:val="true"/>
        </w:rPr>
        <w:t>מצאנו לאמץ את התחשיב שנערך בהנחה כי הפטור חל</w:t>
      </w:r>
      <w:r>
        <w:rPr>
          <w:rFonts w:cs="David" w:ascii="David" w:hAnsi="David"/>
          <w:rtl w:val="true"/>
        </w:rPr>
        <w:t xml:space="preserve">, </w:t>
      </w:r>
      <w:r>
        <w:rPr>
          <w:rFonts w:ascii="David" w:hAnsi="David" w:cs="David"/>
          <w:rtl w:val="true"/>
        </w:rPr>
        <w:t xml:space="preserve">וזאת בשים לב לכך שמרבית בעלי הזכויות זכאים לפטור בהתאם לאמות המידה שנקבעו </w:t>
      </w:r>
      <w:r>
        <w:rPr>
          <w:rFonts w:ascii="Miriam" w:hAnsi="Miriam" w:cs="Miriam"/>
          <w:rtl w:val="true"/>
        </w:rPr>
        <w:t>בעניין בקר</w:t>
      </w:r>
      <w:r>
        <w:rPr>
          <w:rFonts w:cs="David" w:ascii="David" w:hAnsi="David"/>
          <w:rtl w:val="true"/>
        </w:rPr>
        <w:t xml:space="preserve">. </w:t>
      </w:r>
      <w:r>
        <w:rPr>
          <w:rFonts w:ascii="David" w:hAnsi="David" w:cs="David"/>
          <w:rtl w:val="true"/>
        </w:rPr>
        <w:t>יתר טענות הצדדים בנוגע לשומות המכריעות נדחות</w:t>
      </w:r>
      <w:r>
        <w:rPr>
          <w:rFonts w:cs="David" w:ascii="David" w:hAnsi="David"/>
          <w:rtl w:val="true"/>
        </w:rPr>
        <w:t xml:space="preserve">, </w:t>
      </w:r>
      <w:r>
        <w:rPr>
          <w:rFonts w:ascii="David" w:hAnsi="David" w:cs="David"/>
          <w:rtl w:val="true"/>
        </w:rPr>
        <w:t>בכפוף להוראות שלהלן</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השמאית המכריעה תקבע את שיעור החבות בגין מימוש זכויות הבנייה להקמת מרחבים מוגנים</w:t>
      </w:r>
      <w:r>
        <w:rPr>
          <w:rFonts w:cs="David" w:ascii="David" w:hAnsi="David"/>
          <w:rtl w:val="true"/>
        </w:rPr>
        <w:t xml:space="preserve">, </w:t>
      </w:r>
      <w:r>
        <w:rPr>
          <w:rFonts w:ascii="David" w:hAnsi="David" w:cs="David"/>
          <w:rtl w:val="true"/>
        </w:rPr>
        <w:t xml:space="preserve">בהתאם לעקרונות שנקבעו </w:t>
      </w:r>
      <w:r>
        <w:rPr>
          <w:rFonts w:ascii="Miriam" w:hAnsi="Miriam" w:cs="Miriam"/>
          <w:rtl w:val="true"/>
        </w:rPr>
        <w:t>בעניין בקר</w:t>
      </w:r>
      <w:r>
        <w:rPr>
          <w:rFonts w:cs="David" w:ascii="David" w:hAnsi="David"/>
          <w:rtl w:val="true"/>
        </w:rPr>
        <w:t xml:space="preserve">. </w:t>
      </w:r>
      <w:r>
        <w:rPr>
          <w:rFonts w:ascii="David" w:hAnsi="David" w:cs="David"/>
          <w:rtl w:val="true"/>
        </w:rPr>
        <w:t>לשם כך</w:t>
      </w:r>
      <w:r>
        <w:rPr>
          <w:rFonts w:cs="David" w:ascii="David" w:hAnsi="David"/>
          <w:rtl w:val="true"/>
        </w:rPr>
        <w:t xml:space="preserve">, </w:t>
      </w:r>
      <w:r>
        <w:rPr>
          <w:rFonts w:ascii="David" w:hAnsi="David" w:cs="David"/>
          <w:rtl w:val="true"/>
        </w:rPr>
        <w:t>יגישו הצדדים לשמאית המכריעה השלמת טיעון</w:t>
      </w:r>
      <w:r>
        <w:rPr>
          <w:rFonts w:cs="David" w:ascii="David" w:hAnsi="David"/>
          <w:rtl w:val="true"/>
        </w:rPr>
        <w:t xml:space="preserve">, </w:t>
      </w:r>
      <w:r>
        <w:rPr>
          <w:rFonts w:ascii="David" w:hAnsi="David" w:cs="David"/>
          <w:rtl w:val="true"/>
        </w:rPr>
        <w:t>ובה יפרטו את אופן יישומו של פסק הדין בנסיבות העניין ויציגו את הנתונים הנדרשים לצורך כך</w:t>
      </w:r>
      <w:r>
        <w:rPr>
          <w:rFonts w:cs="David" w:ascii="David" w:hAnsi="David"/>
          <w:rtl w:val="true"/>
        </w:rPr>
        <w:t xml:space="preserve">. </w:t>
      </w:r>
      <w:r>
        <w:rPr>
          <w:rFonts w:ascii="David" w:hAnsi="David" w:cs="David"/>
          <w:rtl w:val="true"/>
        </w:rPr>
        <w:t>סדרי הדין לעניין זה יקבעו על ידי השמאית המכריעה</w:t>
      </w:r>
      <w:r>
        <w:rPr>
          <w:rFonts w:cs="David" w:ascii="David" w:hAnsi="David"/>
          <w:rtl w:val="true"/>
        </w:rPr>
        <w:t xml:space="preserve">. </w:t>
      </w:r>
      <w:r>
        <w:rPr>
          <w:rFonts w:ascii="David" w:hAnsi="David" w:cs="David"/>
          <w:rtl w:val="true"/>
        </w:rPr>
        <w:t>ככל שלא יעמדו לפניה נתונים מספקים</w:t>
      </w:r>
      <w:r>
        <w:rPr>
          <w:rFonts w:cs="David" w:ascii="David" w:hAnsi="David"/>
          <w:rtl w:val="true"/>
        </w:rPr>
        <w:t xml:space="preserve">, </w:t>
      </w:r>
      <w:r>
        <w:rPr>
          <w:rFonts w:ascii="David" w:hAnsi="David" w:cs="David"/>
          <w:rtl w:val="true"/>
        </w:rPr>
        <w:t>תקבע השמאית המכריעה את שיעור החבות בגין המרחבים המוגנים על יסוד אומדן</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השמאית המכריעה תעדכן את השומות המכריעות ותבהיר</w:t>
      </w:r>
      <w:r>
        <w:rPr>
          <w:rFonts w:cs="David" w:ascii="David" w:hAnsi="David"/>
          <w:rtl w:val="true"/>
        </w:rPr>
        <w:t xml:space="preserve">, </w:t>
      </w:r>
      <w:r>
        <w:rPr>
          <w:rFonts w:ascii="David" w:hAnsi="David" w:cs="David"/>
          <w:rtl w:val="true"/>
        </w:rPr>
        <w:t>במסגרת זו</w:t>
      </w:r>
      <w:r>
        <w:rPr>
          <w:rFonts w:cs="David" w:ascii="David" w:hAnsi="David"/>
          <w:rtl w:val="true"/>
        </w:rPr>
        <w:t xml:space="preserve">, </w:t>
      </w:r>
      <w:r>
        <w:rPr>
          <w:rFonts w:ascii="David" w:hAnsi="David" w:cs="David"/>
          <w:rtl w:val="true"/>
        </w:rPr>
        <w:t xml:space="preserve">את הטעם להכללת העסקה שנערכה בגוש </w:t>
      </w:r>
      <w:r>
        <w:rPr>
          <w:rFonts w:cs="David" w:ascii="David" w:hAnsi="David"/>
        </w:rPr>
        <w:t>7928</w:t>
      </w:r>
      <w:r>
        <w:rPr>
          <w:rFonts w:cs="David" w:ascii="David" w:hAnsi="David"/>
          <w:rtl w:val="true"/>
        </w:rPr>
        <w:t xml:space="preserve"> </w:t>
      </w:r>
      <w:r>
        <w:rPr>
          <w:rFonts w:ascii="David" w:hAnsi="David" w:cs="David"/>
          <w:rtl w:val="true"/>
        </w:rPr>
        <w:t xml:space="preserve">חלקה </w:t>
      </w:r>
      <w:r>
        <w:rPr>
          <w:rFonts w:cs="David" w:ascii="David" w:hAnsi="David"/>
        </w:rPr>
        <w:t>22</w:t>
      </w:r>
      <w:r>
        <w:rPr>
          <w:rFonts w:cs="David" w:ascii="David" w:hAnsi="David"/>
          <w:rtl w:val="true"/>
        </w:rPr>
        <w:t xml:space="preserve"> </w:t>
      </w:r>
      <w:r>
        <w:rPr>
          <w:rFonts w:ascii="David" w:hAnsi="David" w:cs="David"/>
          <w:rtl w:val="true"/>
        </w:rPr>
        <w:t>במסד הנתונים</w:t>
      </w:r>
      <w:r>
        <w:rPr>
          <w:rFonts w:cs="David" w:ascii="David" w:hAnsi="David"/>
          <w:rtl w:val="true"/>
        </w:rPr>
        <w:t xml:space="preserve">, </w:t>
      </w:r>
      <w:r>
        <w:rPr>
          <w:rFonts w:ascii="David" w:hAnsi="David" w:cs="David"/>
          <w:rtl w:val="true"/>
        </w:rPr>
        <w:t>בשים לב לחריגותה</w:t>
      </w:r>
      <w:r>
        <w:rPr>
          <w:rFonts w:cs="David" w:ascii="David" w:hAnsi="David"/>
          <w:rtl w:val="true"/>
        </w:rPr>
        <w:t xml:space="preserve">. </w:t>
      </w:r>
      <w:r>
        <w:rPr>
          <w:rFonts w:ascii="David" w:hAnsi="David" w:cs="David"/>
          <w:rtl w:val="true"/>
        </w:rPr>
        <w:t>אגב כך</w:t>
      </w:r>
      <w:r>
        <w:rPr>
          <w:rFonts w:cs="David" w:ascii="David" w:hAnsi="David"/>
          <w:rtl w:val="true"/>
        </w:rPr>
        <w:t xml:space="preserve">, </w:t>
      </w:r>
      <w:r>
        <w:rPr>
          <w:rFonts w:ascii="David" w:hAnsi="David" w:cs="David"/>
          <w:rtl w:val="true"/>
        </w:rPr>
        <w:t>תהא השמאית המכריעה רשאית לשוב ולעיין בקביעתה בעניין זה</w:t>
      </w:r>
      <w:r>
        <w:rPr>
          <w:rFonts w:cs="David" w:ascii="David" w:hAnsi="David"/>
          <w:rtl w:val="true"/>
        </w:rPr>
        <w:t xml:space="preserve">, </w:t>
      </w:r>
      <w:r>
        <w:rPr>
          <w:rFonts w:ascii="David" w:hAnsi="David" w:cs="David"/>
          <w:rtl w:val="true"/>
        </w:rPr>
        <w:t>וככל שתמצא כי יש מקום לנטרל עסקה זו ממסד הנתונים</w:t>
      </w:r>
      <w:r>
        <w:rPr>
          <w:rFonts w:cs="David" w:ascii="David" w:hAnsi="David"/>
          <w:rtl w:val="true"/>
        </w:rPr>
        <w:t xml:space="preserve">, </w:t>
      </w:r>
      <w:r>
        <w:rPr>
          <w:rFonts w:ascii="David" w:hAnsi="David" w:cs="David"/>
          <w:rtl w:val="true"/>
        </w:rPr>
        <w:t>תערוך את התחשיב מחדש בהתאם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כמו כן</w:t>
      </w:r>
      <w:r>
        <w:rPr>
          <w:rFonts w:cs="David" w:ascii="David" w:hAnsi="David"/>
          <w:rtl w:val="true"/>
        </w:rPr>
        <w:t xml:space="preserve">, </w:t>
      </w:r>
      <w:r>
        <w:rPr>
          <w:rFonts w:ascii="David" w:hAnsi="David" w:cs="David"/>
          <w:rtl w:val="true"/>
        </w:rPr>
        <w:t>השמאית המכריעה תשוב ותבחן את שווי המקרקעין מושא העררים במצב התכנוני הקודם</w:t>
      </w:r>
      <w:r>
        <w:rPr>
          <w:rFonts w:cs="David" w:ascii="David" w:hAnsi="David"/>
          <w:rtl w:val="true"/>
        </w:rPr>
        <w:t xml:space="preserve">, </w:t>
      </w:r>
      <w:r>
        <w:rPr>
          <w:rFonts w:ascii="David" w:hAnsi="David" w:cs="David"/>
          <w:rtl w:val="true"/>
        </w:rPr>
        <w:t>תוך מתן ביטוי להשפעתה של תמ</w:t>
      </w:r>
      <w:r>
        <w:rPr>
          <w:rFonts w:cs="David" w:ascii="David" w:hAnsi="David"/>
          <w:rtl w:val="true"/>
        </w:rPr>
        <w:t>"</w:t>
      </w:r>
      <w:r>
        <w:rPr>
          <w:rFonts w:ascii="David" w:hAnsi="David" w:cs="David"/>
          <w:rtl w:val="true"/>
        </w:rPr>
        <w:t xml:space="preserve">א </w:t>
      </w:r>
      <w:r>
        <w:rPr>
          <w:rFonts w:cs="David" w:ascii="David" w:hAnsi="David"/>
        </w:rPr>
        <w:t>38</w:t>
      </w:r>
      <w:r>
        <w:rPr>
          <w:rFonts w:cs="David" w:ascii="David" w:hAnsi="David"/>
          <w:rtl w:val="true"/>
        </w:rPr>
        <w:t xml:space="preserve"> </w:t>
      </w:r>
      <w:r>
        <w:rPr>
          <w:rFonts w:ascii="David" w:hAnsi="David" w:cs="David"/>
          <w:rtl w:val="true"/>
        </w:rPr>
        <w:t>על שווי המקרקעין</w:t>
      </w:r>
      <w:r>
        <w:rPr>
          <w:rFonts w:cs="David" w:ascii="David" w:hAnsi="David"/>
          <w:rtl w:val="true"/>
        </w:rPr>
        <w:t xml:space="preserve">, </w:t>
      </w:r>
      <w:r>
        <w:rPr>
          <w:rFonts w:ascii="David" w:hAnsi="David" w:cs="David"/>
          <w:rtl w:val="true"/>
        </w:rPr>
        <w:t>ככל שתמצא כי השפעה כאמור אכן קיימת</w:t>
      </w:r>
      <w:r>
        <w:rPr>
          <w:rFonts w:cs="David" w:ascii="David" w:hAnsi="David"/>
          <w:rtl w:val="true"/>
        </w:rPr>
        <w:t xml:space="preserve">. </w:t>
      </w:r>
      <w:r>
        <w:rPr>
          <w:rFonts w:ascii="David" w:hAnsi="David" w:cs="David"/>
          <w:rtl w:val="true"/>
        </w:rPr>
        <w:t>בחינה זו תיעשה על יסוד מסד נתונים שיאפשר להתחקות אחר רכיב זה ולבקר באופן אפקטיבי את הנתונים</w:t>
      </w:r>
      <w:r>
        <w:rPr>
          <w:rFonts w:cs="David" w:ascii="David" w:hAnsi="David"/>
          <w:rtl w:val="true"/>
        </w:rPr>
        <w:t xml:space="preserve">, </w:t>
      </w:r>
      <w:r>
        <w:rPr>
          <w:rFonts w:ascii="David" w:hAnsi="David" w:cs="David"/>
          <w:rtl w:val="true"/>
        </w:rPr>
        <w:t>ההנחות ודרך החישוב העומדים ביסוד התוצאה</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על השומות המכריעות המעודכנות – זכות ערר כדין</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בכפוף לאמור לעיל</w:t>
      </w:r>
      <w:r>
        <w:rPr>
          <w:rFonts w:cs="David" w:ascii="David" w:hAnsi="David"/>
          <w:rtl w:val="true"/>
        </w:rPr>
        <w:t xml:space="preserve">, </w:t>
      </w:r>
      <w:r>
        <w:rPr>
          <w:rFonts w:ascii="David" w:hAnsi="David" w:cs="David"/>
          <w:rtl w:val="true"/>
        </w:rPr>
        <w:t>העררים מתקבלים בחלקם</w:t>
      </w:r>
      <w:r>
        <w:rPr>
          <w:rFonts w:cs="David" w:ascii="David" w:hAnsi="David"/>
          <w:rtl w:val="true"/>
        </w:rPr>
        <w:t>.</w:t>
      </w:r>
    </w:p>
    <w:p>
      <w:pPr>
        <w:pStyle w:val="Ruller43"/>
        <w:numPr>
          <w:ilvl w:val="0"/>
          <w:numId w:val="14"/>
        </w:numPr>
        <w:spacing w:before="240" w:after="240"/>
        <w:ind w:hanging="510" w:start="510" w:end="0"/>
        <w:jc w:val="both"/>
        <w:rPr>
          <w:rFonts w:ascii="David" w:hAnsi="David" w:cs="David"/>
        </w:rPr>
      </w:pPr>
      <w:r>
        <w:rPr>
          <w:rFonts w:ascii="David" w:hAnsi="David" w:cs="David"/>
          <w:rtl w:val="true"/>
        </w:rPr>
        <w:t>בנסיבות העניין</w:t>
      </w:r>
      <w:r>
        <w:rPr>
          <w:rFonts w:cs="David" w:ascii="David" w:hAnsi="David"/>
          <w:rtl w:val="true"/>
        </w:rPr>
        <w:t xml:space="preserve">, </w:t>
      </w:r>
      <w:r>
        <w:rPr>
          <w:rFonts w:ascii="David" w:hAnsi="David" w:cs="David"/>
          <w:rtl w:val="true"/>
        </w:rPr>
        <w:t>כל צד יישא בהוצאותיו</w:t>
      </w:r>
      <w:r>
        <w:rPr>
          <w:rFonts w:cs="David" w:ascii="David" w:hAnsi="David"/>
          <w:rtl w:val="true"/>
        </w:rPr>
        <w:t>.</w:t>
      </w:r>
    </w:p>
    <w:p>
      <w:pPr>
        <w:pStyle w:val="Ruller43"/>
        <w:suppressLineNumbers/>
        <w:spacing w:before="240" w:after="240"/>
        <w:ind w:end="0"/>
        <w:jc w:val="both"/>
        <w:rPr>
          <w:rFonts w:ascii="Miriam" w:hAnsi="Miriam" w:cs="Miriam"/>
          <w:u w:val="single"/>
        </w:rPr>
      </w:pPr>
      <w:r>
        <w:rPr>
          <w:rFonts w:ascii="Miriam" w:hAnsi="Miriam" w:cs="Miriam"/>
          <w:u w:val="single"/>
          <w:rtl w:val="true"/>
        </w:rPr>
        <w:t>גב</w:t>
      </w:r>
      <w:r>
        <w:rPr>
          <w:rFonts w:cs="Miriam" w:ascii="Miriam" w:hAnsi="Miriam"/>
          <w:u w:val="single"/>
          <w:rtl w:val="true"/>
        </w:rPr>
        <w:t xml:space="preserve">' </w:t>
      </w:r>
      <w:r>
        <w:rPr>
          <w:rFonts w:ascii="Miriam" w:hAnsi="Miriam" w:cs="Miriam"/>
          <w:u w:val="single"/>
          <w:rtl w:val="true"/>
        </w:rPr>
        <w:t>נאוה סירקיס</w:t>
      </w:r>
      <w:r>
        <w:rPr>
          <w:rFonts w:cs="Miriam" w:ascii="Miriam" w:hAnsi="Miriam"/>
          <w:u w:val="single"/>
          <w:rtl w:val="true"/>
        </w:rPr>
        <w:t xml:space="preserve">, </w:t>
      </w:r>
      <w:r>
        <w:rPr>
          <w:rFonts w:ascii="Miriam" w:hAnsi="Miriam" w:cs="Miriam"/>
          <w:u w:val="single"/>
          <w:rtl w:val="true"/>
        </w:rPr>
        <w:t xml:space="preserve">שמאית מקרקעין </w:t>
      </w:r>
      <w:r>
        <w:rPr>
          <w:rFonts w:cs="Miriam" w:ascii="Miriam" w:hAnsi="Miriam"/>
          <w:u w:val="single"/>
          <w:rtl w:val="true"/>
        </w:rPr>
        <w:t>(</w:t>
      </w:r>
      <w:r>
        <w:rPr>
          <w:rFonts w:ascii="Miriam" w:hAnsi="Miriam" w:cs="Miriam"/>
          <w:u w:val="single"/>
          <w:rtl w:val="true"/>
        </w:rPr>
        <w:t>נציגת ציבור</w:t>
      </w:r>
      <w:r>
        <w:rPr>
          <w:rFonts w:cs="Miriam" w:ascii="Miriam" w:hAnsi="Miriam"/>
          <w:u w:val="single"/>
          <w:rtl w:val="true"/>
        </w:rPr>
        <w:t>)</w:t>
      </w:r>
    </w:p>
    <w:p>
      <w:pPr>
        <w:pStyle w:val="Ruller43"/>
        <w:numPr>
          <w:ilvl w:val="0"/>
          <w:numId w:val="15"/>
        </w:numPr>
        <w:tabs>
          <w:tab w:val="clear" w:pos="800"/>
        </w:tabs>
        <w:spacing w:before="240" w:after="240"/>
        <w:ind w:hanging="567" w:start="516" w:end="0"/>
        <w:jc w:val="both"/>
        <w:rPr>
          <w:rFonts w:ascii="David" w:hAnsi="David" w:cs="David"/>
        </w:rPr>
      </w:pPr>
      <w:r>
        <w:rPr>
          <w:rFonts w:ascii="David" w:hAnsi="David" w:cs="David"/>
          <w:rtl w:val="true"/>
        </w:rPr>
        <w:t xml:space="preserve">בערר </w:t>
      </w:r>
      <w:r>
        <w:rPr>
          <w:rFonts w:cs="David" w:ascii="David" w:hAnsi="David"/>
          <w:rtl w:val="true"/>
        </w:rPr>
        <w:t>(</w:t>
      </w:r>
      <w:r>
        <w:rPr>
          <w:rFonts w:ascii="David" w:hAnsi="David" w:cs="David"/>
          <w:rtl w:val="true"/>
        </w:rPr>
        <w:t>ועדות ערר – תכנון ובנייה מרכז</w:t>
      </w:r>
      <w:r>
        <w:rPr>
          <w:rFonts w:cs="David" w:ascii="David" w:hAnsi="David"/>
          <w:rtl w:val="true"/>
        </w:rPr>
        <w:t xml:space="preserve">) </w:t>
      </w:r>
      <w:r>
        <w:rPr>
          <w:rFonts w:cs="David" w:ascii="David" w:hAnsi="David"/>
        </w:rPr>
        <w:t>8049-08-25</w:t>
      </w:r>
      <w:r>
        <w:rPr>
          <w:rFonts w:cs="David" w:ascii="David" w:hAnsi="David"/>
          <w:rtl w:val="true"/>
        </w:rPr>
        <w:t xml:space="preserve"> </w:t>
      </w:r>
      <w:r>
        <w:rPr>
          <w:rFonts w:ascii="David" w:hAnsi="David" w:cs="David"/>
          <w:b/>
          <w:b/>
          <w:bCs/>
          <w:rtl w:val="true"/>
        </w:rPr>
        <w:t>פרטיאלי אבנר נ</w:t>
      </w:r>
      <w:r>
        <w:rPr>
          <w:rFonts w:cs="David" w:ascii="David" w:hAnsi="David"/>
          <w:b/>
          <w:bCs/>
          <w:rtl w:val="true"/>
        </w:rPr>
        <w:t xml:space="preserve">' </w:t>
      </w:r>
      <w:r>
        <w:rPr>
          <w:rFonts w:ascii="David" w:hAnsi="David" w:cs="David"/>
          <w:b/>
          <w:b/>
          <w:bCs/>
          <w:rtl w:val="true"/>
        </w:rPr>
        <w:t>הוועדה המקומית לתכנון ובנייה פתח תקווה</w:t>
      </w:r>
      <w:r>
        <w:rPr>
          <w:rFonts w:ascii="David" w:hAnsi="David" w:cs="David"/>
          <w:rtl w:val="true"/>
        </w:rPr>
        <w:t xml:space="preserve"> </w:t>
      </w:r>
      <w:r>
        <w:rPr>
          <w:rFonts w:cs="David" w:ascii="David" w:hAnsi="David"/>
          <w:rtl w:val="true"/>
        </w:rPr>
        <w:t>(</w:t>
      </w:r>
      <w:r>
        <w:rPr>
          <w:rFonts w:ascii="David" w:hAnsi="David" w:cs="David"/>
          <w:rtl w:val="true"/>
        </w:rPr>
        <w:t xml:space="preserve">נבו </w:t>
      </w:r>
      <w:r>
        <w:rPr>
          <w:rFonts w:cs="David" w:ascii="David" w:hAnsi="David"/>
        </w:rPr>
        <w:t>17.6.2026</w:t>
      </w:r>
      <w:r>
        <w:rPr>
          <w:rFonts w:cs="David" w:ascii="David" w:hAnsi="David"/>
          <w:rtl w:val="true"/>
        </w:rPr>
        <w:t xml:space="preserve">), </w:t>
      </w:r>
      <w:r>
        <w:rPr>
          <w:rFonts w:ascii="David" w:hAnsi="David" w:cs="David"/>
          <w:rtl w:val="true"/>
        </w:rPr>
        <w:t>סברתי כי בנסיבות אותו מקרה אין תחולה לפטור הקבוע ב</w:t>
      </w:r>
      <w:hyperlink r:id="rId28">
        <w:r>
          <w:rPr>
            <w:rStyle w:val="Hyperlink"/>
            <w:rFonts w:ascii="David" w:hAnsi="David" w:cs="David"/>
            <w:rtl w:val="true"/>
          </w:rPr>
          <w:t xml:space="preserve">סעיף </w:t>
        </w:r>
        <w:r>
          <w:rPr>
            <w:rStyle w:val="Hyperlink"/>
            <w:rFonts w:cs="David" w:ascii="David" w:hAnsi="David"/>
          </w:rPr>
          <w:t>19</w:t>
        </w:r>
        <w:r>
          <w:rPr>
            <w:rStyle w:val="Hyperlink"/>
            <w:rFonts w:cs="David" w:ascii="David" w:hAnsi="David"/>
            <w:rtl w:val="true"/>
          </w:rPr>
          <w:t>(</w:t>
        </w:r>
        <w:r>
          <w:rPr>
            <w:rStyle w:val="Hyperlink"/>
            <w:rFonts w:ascii="David" w:hAnsi="David" w:cs="David"/>
            <w:rtl w:val="true"/>
          </w:rPr>
          <w:t>ב</w:t>
        </w:r>
        <w:r>
          <w:rPr>
            <w:rStyle w:val="Hyperlink"/>
            <w:rFonts w:cs="David" w:ascii="David" w:hAnsi="David"/>
            <w:rtl w:val="true"/>
          </w:rPr>
          <w:t>)(</w:t>
        </w:r>
        <w:r>
          <w:rPr>
            <w:rStyle w:val="Hyperlink"/>
            <w:rFonts w:cs="David" w:ascii="David" w:hAnsi="David"/>
          </w:rPr>
          <w:t>9</w:t>
        </w:r>
        <w:r>
          <w:rPr>
            <w:rStyle w:val="Hyperlink"/>
            <w:rFonts w:cs="David" w:ascii="David" w:hAnsi="David"/>
            <w:rtl w:val="true"/>
          </w:rPr>
          <w:t>)</w:t>
        </w:r>
      </w:hyperlink>
      <w:r>
        <w:rPr>
          <w:rFonts w:cs="David" w:ascii="David" w:hAnsi="David"/>
          <w:rtl w:val="true"/>
        </w:rPr>
        <w:t xml:space="preserve"> </w:t>
      </w:r>
      <w:r>
        <w:rPr>
          <w:rFonts w:ascii="David" w:hAnsi="David" w:cs="David"/>
          <w:rtl w:val="true"/>
        </w:rPr>
        <w:t>לתוספת השלישית ל</w:t>
      </w:r>
      <w:hyperlink r:id="rId29">
        <w:r>
          <w:rPr>
            <w:rStyle w:val="Hyperlink"/>
            <w:rFonts w:ascii="David" w:hAnsi="David" w:cs="David"/>
            <w:color w:val="0000FF"/>
            <w:u w:val="single"/>
            <w:rtl w:val="true"/>
          </w:rPr>
          <w:t>חוק התכנון והבניה</w:t>
        </w:r>
      </w:hyperlink>
      <w:r>
        <w:rPr>
          <w:rFonts w:cs="David" w:ascii="David" w:hAnsi="David"/>
          <w:rtl w:val="true"/>
        </w:rPr>
        <w:t xml:space="preserve">, </w:t>
      </w:r>
      <w:r>
        <w:rPr>
          <w:rFonts w:ascii="David" w:hAnsi="David" w:cs="David"/>
          <w:rtl w:val="true"/>
        </w:rPr>
        <w:t>התשכ</w:t>
      </w:r>
      <w:r>
        <w:rPr>
          <w:rFonts w:cs="David" w:ascii="David" w:hAnsi="David"/>
          <w:rtl w:val="true"/>
        </w:rPr>
        <w:t>"</w:t>
      </w:r>
      <w:r>
        <w:rPr>
          <w:rFonts w:ascii="David" w:hAnsi="David" w:cs="David"/>
          <w:rtl w:val="true"/>
        </w:rPr>
        <w:t>ה</w:t>
      </w:r>
      <w:r>
        <w:rPr>
          <w:rFonts w:cs="David" w:ascii="David" w:hAnsi="David"/>
          <w:rtl w:val="true"/>
        </w:rPr>
        <w:t>-</w:t>
      </w:r>
      <w:r>
        <w:rPr>
          <w:rFonts w:cs="David" w:ascii="David" w:hAnsi="David"/>
        </w:rPr>
        <w:t>1965</w:t>
      </w:r>
      <w:r>
        <w:rPr>
          <w:rFonts w:cs="David" w:ascii="David" w:hAnsi="David"/>
          <w:rtl w:val="true"/>
        </w:rPr>
        <w:t xml:space="preserve">. </w:t>
      </w:r>
      <w:r>
        <w:rPr>
          <w:rFonts w:ascii="David" w:hAnsi="David" w:cs="David"/>
          <w:rtl w:val="true"/>
        </w:rPr>
        <w:t>ואולם</w:t>
      </w:r>
      <w:r>
        <w:rPr>
          <w:rFonts w:cs="David" w:ascii="David" w:hAnsi="David"/>
          <w:rtl w:val="true"/>
        </w:rPr>
        <w:t xml:space="preserve">, </w:t>
      </w:r>
      <w:r>
        <w:rPr>
          <w:rFonts w:ascii="David" w:hAnsi="David" w:cs="David"/>
          <w:rtl w:val="true"/>
        </w:rPr>
        <w:t>ענייננו בנסיבות שונות</w:t>
      </w:r>
      <w:r>
        <w:rPr>
          <w:rFonts w:cs="David" w:ascii="David" w:hAnsi="David"/>
          <w:rtl w:val="true"/>
        </w:rPr>
        <w:t xml:space="preserve">, </w:t>
      </w:r>
      <w:r>
        <w:rPr>
          <w:rFonts w:ascii="David" w:hAnsi="David" w:cs="David"/>
          <w:rtl w:val="true"/>
        </w:rPr>
        <w:t>הנוגעות לפרויקט פינוי בינוי</w:t>
      </w:r>
      <w:r>
        <w:rPr>
          <w:rFonts w:cs="David" w:ascii="David" w:hAnsi="David"/>
          <w:rtl w:val="true"/>
        </w:rPr>
        <w:t xml:space="preserve">. </w:t>
      </w:r>
      <w:r>
        <w:rPr>
          <w:rFonts w:ascii="David" w:hAnsi="David" w:cs="David"/>
          <w:rtl w:val="true"/>
        </w:rPr>
        <w:t>לטעמי</w:t>
      </w:r>
      <w:r>
        <w:rPr>
          <w:rFonts w:cs="David" w:ascii="David" w:hAnsi="David"/>
          <w:rtl w:val="true"/>
        </w:rPr>
        <w:t xml:space="preserve">, </w:t>
      </w:r>
      <w:r>
        <w:rPr>
          <w:rFonts w:ascii="David" w:hAnsi="David" w:cs="David"/>
          <w:rtl w:val="true"/>
        </w:rPr>
        <w:t>קיים שוני מהותי בין המקרים</w:t>
      </w:r>
      <w:r>
        <w:rPr>
          <w:rFonts w:cs="David" w:ascii="David" w:hAnsi="David"/>
          <w:rtl w:val="true"/>
        </w:rPr>
        <w:t xml:space="preserve">, </w:t>
      </w:r>
      <w:r>
        <w:rPr>
          <w:rFonts w:ascii="David" w:hAnsi="David" w:cs="David"/>
          <w:rtl w:val="true"/>
        </w:rPr>
        <w:t>ובנסיבות המקרה דנן</w:t>
      </w:r>
      <w:r>
        <w:rPr>
          <w:rFonts w:cs="David" w:ascii="David" w:hAnsi="David"/>
          <w:rtl w:val="true"/>
        </w:rPr>
        <w:t xml:space="preserve">, </w:t>
      </w:r>
      <w:r>
        <w:rPr>
          <w:rFonts w:ascii="David" w:hAnsi="David" w:cs="David"/>
          <w:rtl w:val="true"/>
        </w:rPr>
        <w:t>המתאפיינות במיזם שונה בתכלית</w:t>
      </w:r>
      <w:r>
        <w:rPr>
          <w:rFonts w:cs="David" w:ascii="David" w:hAnsi="David"/>
          <w:rtl w:val="true"/>
        </w:rPr>
        <w:t xml:space="preserve">, </w:t>
      </w:r>
      <w:r>
        <w:rPr>
          <w:rFonts w:ascii="David" w:hAnsi="David" w:cs="David"/>
          <w:rtl w:val="true"/>
        </w:rPr>
        <w:t>מקובלת עליי החלטת חברי בהרכב</w:t>
      </w:r>
      <w:r>
        <w:rPr>
          <w:rFonts w:cs="David" w:ascii="David" w:hAnsi="David"/>
          <w:rtl w:val="true"/>
        </w:rPr>
        <w:t>.</w:t>
      </w:r>
    </w:p>
    <w:p>
      <w:pPr>
        <w:pStyle w:val="Ruller43"/>
        <w:suppressLineNumbers/>
        <w:spacing w:before="240" w:after="240"/>
        <w:ind w:end="0"/>
        <w:jc w:val="both"/>
        <w:rPr>
          <w:rFonts w:ascii="David" w:hAnsi="David" w:cs="David"/>
        </w:rPr>
      </w:pPr>
      <w:r>
        <w:rPr>
          <w:rFonts w:ascii="David" w:hAnsi="David" w:cs="David"/>
          <w:rtl w:val="true"/>
        </w:rPr>
        <w:t>הוחלט פה אחד כאמור בחוות דעתו של יו</w:t>
      </w:r>
      <w:r>
        <w:rPr>
          <w:rFonts w:cs="David" w:ascii="David" w:hAnsi="David"/>
          <w:rtl w:val="true"/>
        </w:rPr>
        <w:t>"</w:t>
      </w:r>
      <w:r>
        <w:rPr>
          <w:rFonts w:ascii="David" w:hAnsi="David" w:cs="David"/>
          <w:rtl w:val="true"/>
        </w:rPr>
        <w:t>ר הוועדה</w:t>
      </w:r>
      <w:r>
        <w:rPr>
          <w:rFonts w:cs="David" w:ascii="David" w:hAnsi="David"/>
          <w:rtl w:val="true"/>
        </w:rPr>
        <w:t xml:space="preserve">, </w:t>
      </w:r>
      <w:r>
        <w:rPr>
          <w:rFonts w:ascii="David" w:hAnsi="David" w:cs="David"/>
          <w:rtl w:val="true"/>
        </w:rPr>
        <w:t>עו</w:t>
      </w:r>
      <w:r>
        <w:rPr>
          <w:rFonts w:cs="David" w:ascii="David" w:hAnsi="David"/>
          <w:rtl w:val="true"/>
        </w:rPr>
        <w:t>"</w:t>
      </w:r>
      <w:r>
        <w:rPr>
          <w:rFonts w:ascii="David" w:hAnsi="David" w:cs="David"/>
          <w:rtl w:val="true"/>
        </w:rPr>
        <w:t>ד סגלוביץ</w:t>
      </w:r>
      <w:r>
        <w:rPr>
          <w:rFonts w:cs="David" w:ascii="David" w:hAnsi="David"/>
          <w:rtl w:val="true"/>
        </w:rPr>
        <w:t>'.</w:t>
      </w:r>
    </w:p>
    <w:p>
      <w:pPr>
        <w:pStyle w:val="Ruller43"/>
        <w:suppressLineNumbers/>
        <w:spacing w:before="240" w:after="240"/>
        <w:ind w:end="0"/>
        <w:jc w:val="both"/>
        <w:rPr>
          <w:rFonts w:ascii="David" w:hAnsi="David" w:cs="David"/>
        </w:rPr>
      </w:pPr>
      <w:bookmarkStart w:id="12" w:name="Nitan"/>
      <w:r>
        <w:rPr>
          <w:rFonts w:ascii="David" w:hAnsi="David" w:cs="David"/>
          <w:rtl w:val="true"/>
        </w:rPr>
        <w:t>ניתנה היום</w:t>
      </w:r>
      <w:r>
        <w:rPr>
          <w:rFonts w:cs="David" w:ascii="David" w:hAnsi="David"/>
          <w:rtl w:val="true"/>
        </w:rPr>
        <w:t xml:space="preserve">, </w:t>
      </w:r>
      <w:r>
        <w:rPr>
          <w:rFonts w:ascii="David" w:hAnsi="David" w:cs="David"/>
          <w:rtl w:val="true"/>
        </w:rPr>
        <w:t>כ</w:t>
      </w:r>
      <w:r>
        <w:rPr>
          <w:rFonts w:cs="David" w:ascii="David" w:hAnsi="David"/>
          <w:rtl w:val="true"/>
        </w:rPr>
        <w:t>"</w:t>
      </w:r>
      <w:r>
        <w:rPr>
          <w:rFonts w:ascii="David" w:hAnsi="David" w:cs="David"/>
          <w:rtl w:val="true"/>
        </w:rPr>
        <w:t>ד תשרי ה</w:t>
      </w:r>
      <w:r>
        <w:rPr>
          <w:rFonts w:cs="David" w:ascii="David" w:hAnsi="David"/>
          <w:rtl w:val="true"/>
        </w:rPr>
        <w:t>'</w:t>
      </w:r>
      <w:r>
        <w:rPr>
          <w:rFonts w:ascii="David" w:hAnsi="David" w:cs="David"/>
          <w:rtl w:val="true"/>
        </w:rPr>
        <w:t>תשפ</w:t>
      </w:r>
      <w:r>
        <w:rPr>
          <w:rFonts w:cs="David" w:ascii="David" w:hAnsi="David"/>
          <w:rtl w:val="true"/>
        </w:rPr>
        <w:t>"</w:t>
      </w:r>
      <w:r>
        <w:rPr>
          <w:rFonts w:ascii="David" w:hAnsi="David" w:cs="David"/>
          <w:rtl w:val="true"/>
        </w:rPr>
        <w:t>ז</w:t>
      </w:r>
      <w:r>
        <w:rPr>
          <w:rFonts w:cs="David" w:ascii="David" w:hAnsi="David"/>
          <w:rtl w:val="true"/>
        </w:rPr>
        <w:t xml:space="preserve">, </w:t>
      </w:r>
      <w:r>
        <w:rPr>
          <w:rFonts w:cs="David" w:ascii="David" w:hAnsi="David"/>
        </w:rPr>
        <w:t>5</w:t>
      </w:r>
      <w:r>
        <w:rPr>
          <w:rFonts w:cs="David" w:ascii="David" w:hAnsi="David"/>
          <w:rtl w:val="true"/>
        </w:rPr>
        <w:t xml:space="preserve"> </w:t>
      </w:r>
      <w:r>
        <w:rPr>
          <w:rFonts w:ascii="David" w:hAnsi="David" w:cs="David"/>
          <w:rtl w:val="true"/>
        </w:rPr>
        <w:t xml:space="preserve">אוקטובר </w:t>
      </w:r>
      <w:r>
        <w:rPr>
          <w:rFonts w:cs="David" w:ascii="David" w:hAnsi="David"/>
        </w:rPr>
        <w:t>2026</w:t>
      </w:r>
      <w:r>
        <w:rPr>
          <w:rFonts w:cs="David" w:ascii="David" w:hAnsi="David"/>
          <w:rtl w:val="true"/>
        </w:rPr>
        <w:t xml:space="preserve">. </w:t>
      </w:r>
      <w:bookmarkEnd w:id="12"/>
    </w:p>
    <w:tbl>
      <w:tblPr>
        <w:bidiVisual w:val="true"/>
        <w:tblW w:w="8019" w:type="dxa"/>
        <w:jc w:val="start"/>
        <w:tblInd w:w="-1" w:type="dxa"/>
        <w:tblLayout w:type="fixed"/>
        <w:tblCellMar>
          <w:top w:w="0" w:type="dxa"/>
          <w:start w:w="108" w:type="dxa"/>
          <w:bottom w:w="0" w:type="dxa"/>
          <w:end w:w="108" w:type="dxa"/>
        </w:tblCellMar>
      </w:tblPr>
      <w:tblGrid>
        <w:gridCol w:w="2683"/>
        <w:gridCol w:w="2643"/>
        <w:gridCol w:w="2693"/>
      </w:tblGrid>
      <w:tr>
        <w:trPr/>
        <w:tc>
          <w:tcPr>
            <w:tcW w:w="2683" w:type="dxa"/>
            <w:tcBorders/>
          </w:tcPr>
          <w:p>
            <w:pPr>
              <w:pStyle w:val="Ruller43"/>
              <w:suppressLineNumbers/>
              <w:pBdr>
                <w:bottom w:val="single" w:sz="12" w:space="1" w:color="000000"/>
              </w:pBdr>
              <w:tabs>
                <w:tab w:val="clear" w:pos="800"/>
              </w:tabs>
              <w:snapToGrid w:val="false"/>
              <w:spacing w:lineRule="auto" w:line="240"/>
              <w:ind w:end="0"/>
              <w:jc w:val="center"/>
              <w:rPr>
                <w:rFonts w:ascii="David" w:hAnsi="David" w:cs="David"/>
              </w:rPr>
            </w:pPr>
            <w:r>
              <w:rPr>
                <w:rFonts w:cs="David" w:ascii="David" w:hAnsi="David"/>
                <w:rtl w:val="true"/>
              </w:rPr>
            </w:r>
          </w:p>
          <w:p>
            <w:pPr>
              <w:pStyle w:val="Ruller43"/>
              <w:suppressLineNumbers/>
              <w:spacing w:lineRule="auto" w:line="240"/>
              <w:ind w:end="0"/>
              <w:jc w:val="center"/>
              <w:rPr>
                <w:rFonts w:ascii="David" w:hAnsi="David" w:cs="David"/>
              </w:rPr>
            </w:pPr>
            <w:r>
              <w:rPr>
                <w:rFonts w:ascii="David" w:hAnsi="David" w:cs="David"/>
                <w:rtl w:val="true"/>
              </w:rPr>
              <w:t>מורן יחיא</w:t>
            </w:r>
          </w:p>
          <w:p>
            <w:pPr>
              <w:pStyle w:val="Ruller43"/>
              <w:suppressLineNumbers/>
              <w:spacing w:lineRule="auto" w:line="240"/>
              <w:ind w:end="0"/>
              <w:jc w:val="center"/>
              <w:rPr>
                <w:rFonts w:ascii="David" w:hAnsi="David" w:cs="David"/>
              </w:rPr>
            </w:pPr>
            <w:r>
              <w:rPr>
                <w:rFonts w:ascii="David" w:hAnsi="David" w:cs="David"/>
                <w:rtl w:val="true"/>
              </w:rPr>
              <w:t>מזכירת ועדת ערר</w:t>
            </w:r>
          </w:p>
          <w:p>
            <w:pPr>
              <w:pStyle w:val="Ruller43"/>
              <w:suppressLineNumbers/>
              <w:tabs>
                <w:tab w:val="clear" w:pos="800"/>
              </w:tabs>
              <w:spacing w:lineRule="auto" w:line="240"/>
              <w:ind w:end="0"/>
              <w:jc w:val="center"/>
              <w:rPr>
                <w:rFonts w:ascii="David" w:hAnsi="David" w:cs="David"/>
              </w:rPr>
            </w:pPr>
            <w:r>
              <w:rPr>
                <w:rFonts w:ascii="David" w:hAnsi="David" w:cs="David"/>
                <w:rtl w:val="true"/>
              </w:rPr>
              <w:t>מחוז מרכז</w:t>
            </w:r>
          </w:p>
        </w:tc>
        <w:tc>
          <w:tcPr>
            <w:tcW w:w="2643" w:type="dxa"/>
            <w:tcBorders/>
          </w:tcPr>
          <w:p>
            <w:pPr>
              <w:pStyle w:val="Ruller43"/>
              <w:suppressLineNumbers/>
              <w:tabs>
                <w:tab w:val="clear" w:pos="800"/>
              </w:tabs>
              <w:snapToGrid w:val="false"/>
              <w:spacing w:lineRule="auto" w:line="240"/>
              <w:ind w:end="0"/>
              <w:jc w:val="center"/>
              <w:rPr>
                <w:rFonts w:ascii="David" w:hAnsi="David" w:cs="David"/>
              </w:rPr>
            </w:pPr>
            <w:r>
              <w:rPr>
                <w:rFonts w:cs="David" w:ascii="David" w:hAnsi="David"/>
                <w:rtl w:val="true"/>
              </w:rPr>
            </w:r>
          </w:p>
        </w:tc>
        <w:tc>
          <w:tcPr>
            <w:tcW w:w="2693" w:type="dxa"/>
            <w:tcBorders/>
          </w:tcPr>
          <w:p>
            <w:pPr>
              <w:pStyle w:val="Ruller43"/>
              <w:suppressLineNumbers/>
              <w:pBdr>
                <w:bottom w:val="single" w:sz="12" w:space="1" w:color="000000"/>
              </w:pBdr>
              <w:tabs>
                <w:tab w:val="clear" w:pos="800"/>
              </w:tabs>
              <w:snapToGrid w:val="false"/>
              <w:spacing w:lineRule="auto" w:line="240"/>
              <w:ind w:end="0"/>
              <w:jc w:val="center"/>
              <w:rPr>
                <w:rFonts w:ascii="David" w:hAnsi="David" w:cs="David"/>
              </w:rPr>
            </w:pPr>
            <w:r>
              <w:rPr>
                <w:rFonts w:cs="David" w:ascii="David" w:hAnsi="David"/>
                <w:rtl w:val="true"/>
              </w:rPr>
            </w:r>
          </w:p>
          <w:p>
            <w:pPr>
              <w:pStyle w:val="Ruller43"/>
              <w:suppressLineNumbers/>
              <w:spacing w:lineRule="auto" w:line="240"/>
              <w:ind w:end="0"/>
              <w:jc w:val="center"/>
              <w:rPr>
                <w:rFonts w:ascii="David" w:hAnsi="David" w:cs="David"/>
              </w:rPr>
            </w:pPr>
            <w:r>
              <w:rPr>
                <w:rFonts w:ascii="David" w:hAnsi="David" w:cs="David"/>
                <w:rtl w:val="true"/>
              </w:rPr>
              <w:t>דביר סגלוביץ</w:t>
            </w:r>
            <w:r>
              <w:rPr>
                <w:rFonts w:cs="David" w:ascii="David" w:hAnsi="David"/>
                <w:rtl w:val="true"/>
              </w:rPr>
              <w:t xml:space="preserve">', </w:t>
            </w:r>
            <w:r>
              <w:rPr>
                <w:rFonts w:ascii="David" w:hAnsi="David" w:cs="David"/>
                <w:rtl w:val="true"/>
              </w:rPr>
              <w:t>עו</w:t>
            </w:r>
            <w:r>
              <w:rPr>
                <w:rFonts w:cs="David" w:ascii="David" w:hAnsi="David"/>
                <w:rtl w:val="true"/>
              </w:rPr>
              <w:t>"</w:t>
            </w:r>
            <w:r>
              <w:rPr>
                <w:rFonts w:ascii="David" w:hAnsi="David" w:cs="David"/>
                <w:rtl w:val="true"/>
              </w:rPr>
              <w:t>ד</w:t>
            </w:r>
          </w:p>
          <w:p>
            <w:pPr>
              <w:pStyle w:val="Ruller43"/>
              <w:suppressLineNumbers/>
              <w:spacing w:lineRule="auto" w:line="240"/>
              <w:ind w:end="0"/>
              <w:jc w:val="center"/>
              <w:rPr>
                <w:rFonts w:ascii="David" w:hAnsi="David" w:cs="David"/>
              </w:rPr>
            </w:pPr>
            <w:r>
              <w:rPr>
                <w:rFonts w:ascii="David" w:hAnsi="David" w:cs="David"/>
                <w:rtl w:val="true"/>
              </w:rPr>
              <w:t>יו</w:t>
            </w:r>
            <w:r>
              <w:rPr>
                <w:rFonts w:cs="David" w:ascii="David" w:hAnsi="David"/>
                <w:rtl w:val="true"/>
              </w:rPr>
              <w:t>"</w:t>
            </w:r>
            <w:r>
              <w:rPr>
                <w:rFonts w:ascii="David" w:hAnsi="David" w:cs="David"/>
                <w:rtl w:val="true"/>
              </w:rPr>
              <w:t>ר ועדת ערר</w:t>
            </w:r>
          </w:p>
          <w:p>
            <w:pPr>
              <w:pStyle w:val="Ruller43"/>
              <w:suppressLineNumbers/>
              <w:tabs>
                <w:tab w:val="clear" w:pos="800"/>
              </w:tabs>
              <w:spacing w:lineRule="auto" w:line="240"/>
              <w:ind w:end="0"/>
              <w:jc w:val="center"/>
              <w:rPr>
                <w:rFonts w:ascii="David" w:hAnsi="David" w:cs="David"/>
              </w:rPr>
            </w:pPr>
            <w:r>
              <w:rPr>
                <w:rFonts w:ascii="David" w:hAnsi="David" w:cs="David"/>
                <w:rtl w:val="true"/>
              </w:rPr>
              <w:t>מחוז מרכז</w:t>
            </w:r>
          </w:p>
        </w:tc>
      </w:tr>
    </w:tbl>
    <w:p>
      <w:pPr>
        <w:pStyle w:val="Ruller43"/>
        <w:suppressLineNumbers/>
        <w:tabs>
          <w:tab w:val="clear" w:pos="800"/>
        </w:tabs>
        <w:spacing w:before="240" w:after="240"/>
        <w:ind w:end="0"/>
        <w:jc w:val="start"/>
        <w:rPr>
          <w:rFonts w:ascii="David" w:hAnsi="David" w:cs="David"/>
          <w:color w:val="000000"/>
        </w:rPr>
      </w:pPr>
      <w:r>
        <w:rPr>
          <w:rFonts w:cs="David" w:ascii="David" w:hAnsi="David"/>
          <w:color w:val="000000"/>
          <w:rtl w:val="true"/>
        </w:rPr>
      </w:r>
    </w:p>
    <w:p>
      <w:pPr>
        <w:pStyle w:val="Ruller43"/>
        <w:suppressLineNumbers/>
        <w:tabs>
          <w:tab w:val="clear" w:pos="800"/>
        </w:tabs>
        <w:spacing w:before="240" w:after="240"/>
        <w:ind w:end="0"/>
        <w:jc w:val="start"/>
        <w:rPr>
          <w:rFonts w:ascii="David" w:hAnsi="David" w:cs="David"/>
        </w:rPr>
      </w:pPr>
      <w:r>
        <w:rPr>
          <w:rFonts w:ascii="David" w:hAnsi="David" w:cs="David"/>
          <w:color w:val="000000"/>
          <w:rtl w:val="true"/>
        </w:rPr>
        <w:t>נוסח מסמך זה כפוף לשינויי ניסוח ועריכה</w:t>
      </w:r>
    </w:p>
    <w:p>
      <w:pPr>
        <w:pStyle w:val="Ruller43"/>
        <w:suppressLineNumbers/>
        <w:tabs>
          <w:tab w:val="clear" w:pos="800"/>
        </w:tabs>
        <w:spacing w:before="240" w:after="240"/>
        <w:ind w:end="0"/>
        <w:jc w:val="start"/>
        <w:rPr>
          <w:rFonts w:ascii="David" w:hAnsi="David" w:cs="David"/>
        </w:rPr>
      </w:pPr>
      <w:r>
        <w:rPr>
          <w:rFonts w:cs="David" w:ascii="David" w:hAnsi="David"/>
          <w:rtl w:val="true"/>
        </w:rPr>
      </w:r>
    </w:p>
    <w:p>
      <w:pPr>
        <w:pStyle w:val="Ruller43"/>
        <w:suppressLineNumbers/>
        <w:tabs>
          <w:tab w:val="clear" w:pos="800"/>
        </w:tabs>
        <w:spacing w:before="240" w:after="240"/>
        <w:ind w:end="0"/>
        <w:jc w:val="center"/>
        <w:rPr>
          <w:rFonts w:ascii="David" w:hAnsi="David" w:cs="David"/>
          <w:color w:val="0000FF"/>
          <w:szCs w:val="24"/>
          <w:u w:val="single"/>
        </w:rPr>
      </w:pPr>
      <w:hyperlink r:id="rId30">
        <w:r>
          <w:rPr>
            <w:rStyle w:val="Hyperlink"/>
            <w:rFonts w:ascii="David" w:hAnsi="David" w:cs="David"/>
            <w:color w:val="0000FF"/>
            <w:szCs w:val="24"/>
            <w:u w:val="single"/>
            <w:rtl w:val="true"/>
          </w:rPr>
          <w:t>בעניין עריכה ושינויים במסמכי פסיקה</w:t>
        </w:r>
        <w:r>
          <w:rPr>
            <w:rStyle w:val="Hyperlink"/>
            <w:rFonts w:cs="David" w:ascii="David" w:hAnsi="David"/>
            <w:color w:val="0000FF"/>
            <w:szCs w:val="24"/>
            <w:u w:val="single"/>
            <w:rtl w:val="true"/>
          </w:rPr>
          <w:t xml:space="preserve">, </w:t>
        </w:r>
        <w:r>
          <w:rPr>
            <w:rStyle w:val="Hyperlink"/>
            <w:rFonts w:ascii="David" w:hAnsi="David" w:cs="David"/>
            <w:color w:val="0000FF"/>
            <w:szCs w:val="24"/>
            <w:u w:val="single"/>
            <w:rtl w:val="true"/>
          </w:rPr>
          <w:t>חקיקה ועוד באתר נבו – הקש כאן</w:t>
        </w:r>
      </w:hyperlink>
    </w:p>
    <w:p>
      <w:pPr>
        <w:pStyle w:val="Ruller43"/>
        <w:suppressLineNumbers/>
        <w:tabs>
          <w:tab w:val="clear" w:pos="800"/>
        </w:tabs>
        <w:spacing w:before="240" w:after="240"/>
        <w:ind w:end="0"/>
        <w:jc w:val="center"/>
        <w:rPr>
          <w:rFonts w:ascii="David" w:hAnsi="David" w:cs="David"/>
          <w:color w:val="0000FF"/>
          <w:szCs w:val="24"/>
          <w:u w:val="single"/>
        </w:rPr>
      </w:pPr>
      <w:r>
        <w:rPr>
          <w:rFonts w:cs="David" w:ascii="David" w:hAnsi="David"/>
          <w:color w:val="0000FF"/>
          <w:szCs w:val="24"/>
          <w:u w:val="single"/>
          <w:rtl w:val="true"/>
        </w:rPr>
      </w:r>
    </w:p>
    <w:sectPr>
      <w:headerReference w:type="default" r:id="rId31"/>
      <w:headerReference w:type="first" r:id="rId32"/>
      <w:footerReference w:type="default" r:id="rId33"/>
      <w:footerReference w:type="first" r:id="rId34"/>
      <w:type w:val="nextPage"/>
      <w:pgSz w:w="11906" w:h="16838"/>
      <w:pgMar w:left="1797" w:right="1797" w:gutter="0" w:header="720" w:top="1701" w:footer="510" w:bottom="1440"/>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Miriam">
    <w:charset w:val="00" w:characterSet="windows-1252"/>
    <w:family w:val="swiss"/>
    <w:pitch w:val="variable"/>
  </w:font>
  <w:font w:name="Cambria">
    <w:charset w:val="00" w:characterSet="windows-1252"/>
    <w:family w:val="roman"/>
    <w:pitch w:val="variable"/>
  </w:font>
  <w:font w:name="David">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Calibri">
    <w:charset w:val="00" w:characterSet="windows-1252"/>
    <w:family w:val="swiss"/>
    <w:pitch w:val="variable"/>
  </w:font>
  <w:font w:name="Century">
    <w:charset w:val="00" w:characterSet="windows-1252"/>
    <w:family w:val="roman"/>
    <w:pitch w:val="variable"/>
  </w:font>
  <w:font w:name="Tahoma">
    <w:charset w:val="00" w:characterSet="windows-1252"/>
    <w:family w:val="swiss"/>
    <w:pitch w:val="variable"/>
  </w:font>
  <w:font w:name="Garamond">
    <w:charset w:val="00" w:characterSet="windows-1252"/>
    <w:family w:val="roman"/>
    <w:pitch w:val="variable"/>
  </w:font>
  <w:font w:name="Arial TUR">
    <w:charset w:val="00" w:characterSet="windows-1252"/>
    <w:family w:val="swiss"/>
    <w:pitch w:val="variable"/>
  </w:font>
  <w:font w:name="Consolas">
    <w:charset w:val="00" w:characterSet="windows-1252"/>
    <w:family w:val="modern"/>
    <w:pitch w:val="default"/>
  </w:font>
  <w:font w:name="FrankRueh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Fonts w:ascii="FrankRuehl" w:hAnsi="FrankRuehl" w:cs="FrankRuehl"/>
      </w:rPr>
    </w:pPr>
    <w:r>
      <w:rPr>
        <w:rFonts w:cs="FrankRuehl" w:ascii="FrankRuehl" w:hAnsi="FrankRuehl"/>
        <w:rtl w:val="true"/>
      </w:rPr>
      <w:fldChar w:fldCharType="begin"/>
    </w:r>
    <w:r>
      <w:rPr>
        <w:rtl w:val="true"/>
        <w:rFonts w:cs="FrankRuehl" w:ascii="FrankRuehl" w:hAnsi="FrankRuehl"/>
      </w:rPr>
      <w:instrText xml:space="preserve"> PAGE </w:instrText>
    </w:r>
    <w:r>
      <w:rPr>
        <w:rtl w:val="true"/>
        <w:rFonts w:cs="FrankRuehl" w:ascii="FrankRuehl" w:hAnsi="FrankRuehl"/>
      </w:rPr>
      <w:fldChar w:fldCharType="separate"/>
    </w:r>
    <w:r>
      <w:rPr>
        <w:rtl w:val="true"/>
        <w:rFonts w:cs="FrankRuehl" w:ascii="FrankRuehl" w:hAnsi="FrankRuehl"/>
      </w:rPr>
      <w:t>4</w:t>
    </w:r>
    <w:r>
      <w:rPr>
        <w:rtl w:val="true"/>
        <w:rFonts w:cs="FrankRuehl" w:ascii="FrankRuehl" w:hAnsi="FrankRuehl"/>
      </w:rPr>
      <w:fldChar w:fldCharType="end"/>
    </w:r>
  </w:p>
  <w:p>
    <w:pPr>
      <w:pStyle w:val="Footer"/>
      <w:pBdr>
        <w:top w:val="single" w:sz="4" w:space="1" w:color="000000"/>
      </w:pBdr>
      <w:spacing w:before="0" w:after="60"/>
      <w:ind w:end="0"/>
      <w:jc w:val="center"/>
      <w:rPr>
        <w:rFonts w:ascii="FrankRuehl" w:hAnsi="FrankRuehl" w:cs="FrankRuehl"/>
        <w:color w:val="000000"/>
      </w:rPr>
    </w:pPr>
    <w:r>
      <w:rPr>
        <w:rFonts w:cs="FrankRuehl" w:ascii="FrankRuehl" w:hAnsi="FrankRuehl"/>
        <w:color w:val="000000"/>
        <w:rtl w:val="true"/>
      </w:rPr>
      <w:drawing>
        <wp:inline distT="0" distB="0" distL="0" distR="0">
          <wp:extent cx="554990" cy="2254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65" t="-159" r="-65" b="-159"/>
                  <a:stretch>
                    <a:fillRect/>
                  </a:stretch>
                </pic:blipFill>
                <pic:spPr bwMode="auto">
                  <a:xfrm>
                    <a:off x="0" y="0"/>
                    <a:ext cx="554990" cy="22542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Fonts w:ascii="FrankRuehl" w:hAnsi="FrankRuehl" w:cs="FrankRuehl"/>
      </w:rPr>
    </w:pPr>
    <w:r>
      <w:rPr>
        <w:rFonts w:cs="FrankRuehl" w:ascii="FrankRuehl" w:hAnsi="FrankRuehl"/>
        <w:rtl w:val="true"/>
      </w:rPr>
      <w:fldChar w:fldCharType="begin"/>
    </w:r>
    <w:r>
      <w:rPr>
        <w:rtl w:val="true"/>
        <w:rFonts w:cs="FrankRuehl" w:ascii="FrankRuehl" w:hAnsi="FrankRuehl"/>
      </w:rPr>
      <w:instrText xml:space="preserve"> PAGE </w:instrText>
    </w:r>
    <w:r>
      <w:rPr>
        <w:rtl w:val="true"/>
        <w:rFonts w:cs="FrankRuehl" w:ascii="FrankRuehl" w:hAnsi="FrankRuehl"/>
      </w:rPr>
      <w:fldChar w:fldCharType="separate"/>
    </w:r>
    <w:r>
      <w:rPr>
        <w:rtl w:val="true"/>
        <w:rFonts w:cs="FrankRuehl" w:ascii="FrankRuehl" w:hAnsi="FrankRuehl"/>
      </w:rPr>
      <w:t>39</w:t>
    </w:r>
    <w:r>
      <w:rPr>
        <w:rtl w:val="true"/>
        <w:rFonts w:cs="FrankRuehl" w:ascii="FrankRuehl" w:hAnsi="FrankRuehl"/>
      </w:rPr>
      <w:fldChar w:fldCharType="end"/>
    </w:r>
  </w:p>
  <w:p>
    <w:pPr>
      <w:pStyle w:val="Footer"/>
      <w:pBdr>
        <w:top w:val="single" w:sz="4" w:space="1" w:color="000000"/>
      </w:pBdr>
      <w:spacing w:before="0" w:after="60"/>
      <w:ind w:end="0"/>
      <w:jc w:val="center"/>
      <w:rPr>
        <w:rFonts w:ascii="FrankRuehl" w:hAnsi="FrankRuehl" w:cs="FrankRuehl"/>
        <w:color w:val="000000"/>
      </w:rPr>
    </w:pPr>
    <w:r>
      <w:rPr>
        <w:rFonts w:cs="FrankRuehl" w:ascii="FrankRuehl" w:hAnsi="FrankRuehl"/>
        <w:color w:val="000000"/>
        <w:rtl w:val="true"/>
      </w:rPr>
      <w:drawing>
        <wp:inline distT="0" distB="0" distL="0" distR="0">
          <wp:extent cx="554990" cy="2254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rcRect l="-65" t="-159" r="-65" b="-159"/>
                  <a:stretch>
                    <a:fillRect/>
                  </a:stretch>
                </pic:blipFill>
                <pic:spPr bwMode="auto">
                  <a:xfrm>
                    <a:off x="0" y="0"/>
                    <a:ext cx="554990" cy="22542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4153"/>
        <w:tab w:val="clear" w:pos="8306"/>
        <w:tab w:val="right" w:pos="8311" w:leader="none"/>
      </w:tabs>
      <w:spacing w:lineRule="auto" w:line="218"/>
      <w:ind w:end="0"/>
      <w:jc w:val="start"/>
      <w:rPr>
        <w:rFonts w:ascii="David" w:hAnsi="David" w:cs="David"/>
        <w:color w:val="000000"/>
        <w:sz w:val="22"/>
        <w:szCs w:val="22"/>
      </w:rPr>
    </w:pPr>
    <w:r>
      <w:rPr>
        <w:rFonts w:ascii="David" w:hAnsi="David"/>
        <w:color w:val="000000"/>
        <w:sz w:val="22"/>
        <w:sz w:val="22"/>
        <w:szCs w:val="22"/>
        <w:rtl w:val="true"/>
      </w:rPr>
      <w:t xml:space="preserve">ערר </w:t>
    </w:r>
    <w:r>
      <w:rPr>
        <w:rFonts w:cs="David" w:ascii="David" w:hAnsi="David"/>
        <w:color w:val="000000"/>
        <w:sz w:val="22"/>
        <w:szCs w:val="22"/>
        <w:rtl w:val="true"/>
      </w:rPr>
      <w:t>(</w:t>
    </w:r>
    <w:r>
      <w:rPr>
        <w:rFonts w:ascii="David" w:hAnsi="David"/>
        <w:color w:val="000000"/>
        <w:sz w:val="22"/>
        <w:sz w:val="22"/>
        <w:szCs w:val="22"/>
        <w:rtl w:val="true"/>
      </w:rPr>
      <w:t>מרכז</w:t>
    </w:r>
    <w:r>
      <w:rPr>
        <w:rFonts w:cs="David" w:ascii="David" w:hAnsi="David"/>
        <w:color w:val="000000"/>
        <w:sz w:val="22"/>
        <w:szCs w:val="22"/>
        <w:rtl w:val="true"/>
      </w:rPr>
      <w:t xml:space="preserve">) </w:t>
    </w:r>
    <w:r>
      <w:rPr>
        <w:rFonts w:cs="David" w:ascii="David" w:hAnsi="David"/>
        <w:color w:val="000000"/>
        <w:sz w:val="22"/>
        <w:szCs w:val="22"/>
      </w:rPr>
      <w:t>8059-09-25</w:t>
    </w:r>
    <w:r>
      <w:rPr>
        <w:rFonts w:cs="David" w:ascii="David" w:hAnsi="David"/>
        <w:color w:val="000000"/>
        <w:sz w:val="22"/>
        <w:szCs w:val="22"/>
        <w:rtl w:val="true"/>
      </w:rPr>
      <w:t>;</w:t>
    </w:r>
    <w:r>
      <w:rPr>
        <w:rFonts w:cs="David" w:ascii="David" w:hAnsi="David"/>
        <w:color w:val="000000"/>
        <w:sz w:val="22"/>
        <w:szCs w:val="22"/>
      </w:rPr>
      <w:t>8069-09-25</w:t>
    </w:r>
    <w:r>
      <w:rPr>
        <w:rFonts w:cs="David" w:ascii="David" w:hAnsi="David"/>
        <w:color w:val="000000"/>
        <w:sz w:val="22"/>
        <w:szCs w:val="22"/>
        <w:rtl w:val="true"/>
      </w:rPr>
      <w:tab/>
      <w:t xml:space="preserve"> </w:t>
    </w:r>
    <w:r>
      <w:rPr>
        <w:rFonts w:ascii="David" w:hAnsi="David"/>
        <w:color w:val="000000"/>
        <w:sz w:val="22"/>
        <w:sz w:val="22"/>
        <w:szCs w:val="22"/>
        <w:rtl w:val="true"/>
      </w:rPr>
      <w:t>י</w:t>
    </w:r>
    <w:r>
      <w:rPr>
        <w:rFonts w:cs="David" w:ascii="David" w:hAnsi="David"/>
        <w:color w:val="000000"/>
        <w:sz w:val="22"/>
        <w:szCs w:val="22"/>
        <w:rtl w:val="true"/>
      </w:rPr>
      <w:t>.</w:t>
    </w:r>
    <w:r>
      <w:rPr>
        <w:rFonts w:ascii="David" w:hAnsi="David"/>
        <w:color w:val="000000"/>
        <w:sz w:val="22"/>
        <w:sz w:val="22"/>
        <w:szCs w:val="22"/>
        <w:rtl w:val="true"/>
      </w:rPr>
      <w:t>ח</w:t>
    </w:r>
    <w:r>
      <w:rPr>
        <w:rFonts w:cs="David" w:ascii="David" w:hAnsi="David"/>
        <w:color w:val="000000"/>
        <w:sz w:val="22"/>
        <w:szCs w:val="22"/>
        <w:rtl w:val="true"/>
      </w:rPr>
      <w:t xml:space="preserve">. </w:t>
    </w:r>
    <w:r>
      <w:rPr>
        <w:rFonts w:ascii="David" w:hAnsi="David"/>
        <w:color w:val="000000"/>
        <w:sz w:val="22"/>
        <w:sz w:val="22"/>
        <w:szCs w:val="22"/>
        <w:rtl w:val="true"/>
      </w:rPr>
      <w:t>דמרי בניה ופיתוח בע״מ ואח׳ נ׳ הוועדה המקומית לתכנון ובנייה נתניה</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4153"/>
        <w:tab w:val="clear" w:pos="8306"/>
        <w:tab w:val="right" w:pos="8311" w:leader="none"/>
      </w:tabs>
      <w:spacing w:lineRule="auto" w:line="218"/>
      <w:ind w:end="0"/>
      <w:jc w:val="start"/>
      <w:rPr>
        <w:rFonts w:ascii="David" w:hAnsi="David" w:cs="David"/>
        <w:color w:val="000000"/>
        <w:sz w:val="22"/>
        <w:szCs w:val="22"/>
      </w:rPr>
    </w:pPr>
    <w:r>
      <w:rPr>
        <w:rFonts w:ascii="David" w:hAnsi="David"/>
        <w:color w:val="000000"/>
        <w:sz w:val="22"/>
        <w:sz w:val="22"/>
        <w:szCs w:val="22"/>
        <w:rtl w:val="true"/>
      </w:rPr>
      <w:t xml:space="preserve">ערר </w:t>
    </w:r>
    <w:r>
      <w:rPr>
        <w:rFonts w:cs="David" w:ascii="David" w:hAnsi="David"/>
        <w:color w:val="000000"/>
        <w:sz w:val="22"/>
        <w:szCs w:val="22"/>
        <w:rtl w:val="true"/>
      </w:rPr>
      <w:t>(</w:t>
    </w:r>
    <w:r>
      <w:rPr>
        <w:rFonts w:ascii="David" w:hAnsi="David"/>
        <w:color w:val="000000"/>
        <w:sz w:val="22"/>
        <w:sz w:val="22"/>
        <w:szCs w:val="22"/>
        <w:rtl w:val="true"/>
      </w:rPr>
      <w:t>מרכז</w:t>
    </w:r>
    <w:r>
      <w:rPr>
        <w:rFonts w:cs="David" w:ascii="David" w:hAnsi="David"/>
        <w:color w:val="000000"/>
        <w:sz w:val="22"/>
        <w:szCs w:val="22"/>
        <w:rtl w:val="true"/>
      </w:rPr>
      <w:t xml:space="preserve">) </w:t>
    </w:r>
    <w:r>
      <w:rPr>
        <w:rFonts w:cs="David" w:ascii="David" w:hAnsi="David"/>
        <w:color w:val="000000"/>
        <w:sz w:val="22"/>
        <w:szCs w:val="22"/>
      </w:rPr>
      <w:t>8059-09-25</w:t>
    </w:r>
    <w:r>
      <w:rPr>
        <w:rFonts w:cs="David" w:ascii="David" w:hAnsi="David"/>
        <w:color w:val="000000"/>
        <w:sz w:val="22"/>
        <w:szCs w:val="22"/>
        <w:rtl w:val="true"/>
      </w:rPr>
      <w:t>;</w:t>
    </w:r>
    <w:r>
      <w:rPr>
        <w:rFonts w:cs="David" w:ascii="David" w:hAnsi="David"/>
        <w:color w:val="000000"/>
        <w:sz w:val="22"/>
        <w:szCs w:val="22"/>
      </w:rPr>
      <w:t>8069-09-25</w:t>
    </w:r>
    <w:r>
      <w:rPr>
        <w:rFonts w:cs="David" w:ascii="David" w:hAnsi="David"/>
        <w:color w:val="000000"/>
        <w:sz w:val="22"/>
        <w:szCs w:val="22"/>
        <w:rtl w:val="true"/>
      </w:rPr>
      <w:tab/>
      <w:t xml:space="preserve"> </w:t>
    </w:r>
    <w:r>
      <w:rPr>
        <w:rFonts w:ascii="David" w:hAnsi="David"/>
        <w:color w:val="000000"/>
        <w:sz w:val="22"/>
        <w:sz w:val="22"/>
        <w:szCs w:val="22"/>
        <w:rtl w:val="true"/>
      </w:rPr>
      <w:t>י</w:t>
    </w:r>
    <w:r>
      <w:rPr>
        <w:rFonts w:cs="David" w:ascii="David" w:hAnsi="David"/>
        <w:color w:val="000000"/>
        <w:sz w:val="22"/>
        <w:szCs w:val="22"/>
        <w:rtl w:val="true"/>
      </w:rPr>
      <w:t>.</w:t>
    </w:r>
    <w:r>
      <w:rPr>
        <w:rFonts w:ascii="David" w:hAnsi="David"/>
        <w:color w:val="000000"/>
        <w:sz w:val="22"/>
        <w:sz w:val="22"/>
        <w:szCs w:val="22"/>
        <w:rtl w:val="true"/>
      </w:rPr>
      <w:t>ח</w:t>
    </w:r>
    <w:r>
      <w:rPr>
        <w:rFonts w:cs="David" w:ascii="David" w:hAnsi="David"/>
        <w:color w:val="000000"/>
        <w:sz w:val="22"/>
        <w:szCs w:val="22"/>
        <w:rtl w:val="true"/>
      </w:rPr>
      <w:t xml:space="preserve">. </w:t>
    </w:r>
    <w:r>
      <w:rPr>
        <w:rFonts w:ascii="David" w:hAnsi="David"/>
        <w:color w:val="000000"/>
        <w:sz w:val="22"/>
        <w:sz w:val="22"/>
        <w:szCs w:val="22"/>
        <w:rtl w:val="true"/>
      </w:rPr>
      <w:t>דמרי בניה ופיתוח בע״מ ואח׳ נ׳ הוועדה המקומית לתכנון ובנייה נתניה</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rPr>
        <w:rFonts w:cs="Times New Roman"/>
      </w:rPr>
    </w:lvl>
  </w:abstractNum>
  <w:abstractNum w:abstractNumId="3">
    <w:lvl w:ilvl="0">
      <w:start w:val="1"/>
      <w:numFmt w:val="decimal"/>
      <w:lvlText w:val="%1."/>
      <w:lvlJc w:val="start"/>
      <w:pPr>
        <w:tabs>
          <w:tab w:val="num" w:pos="1209"/>
        </w:tabs>
        <w:ind w:start="1209" w:hanging="360"/>
      </w:pPr>
      <w:rPr>
        <w:rFonts w:cs="Times New Roman"/>
      </w:rPr>
    </w:lvl>
  </w:abstractNum>
  <w:abstractNum w:abstractNumId="4">
    <w:lvl w:ilvl="0">
      <w:start w:val="1"/>
      <w:numFmt w:val="decimal"/>
      <w:lvlText w:val="%1."/>
      <w:lvlJc w:val="start"/>
      <w:pPr>
        <w:tabs>
          <w:tab w:val="num" w:pos="926"/>
        </w:tabs>
        <w:ind w:start="926" w:hanging="360"/>
      </w:pPr>
      <w:rPr>
        <w:rFonts w:cs="Times New Roman"/>
      </w:rPr>
    </w:lvl>
  </w:abstractNum>
  <w:abstractNum w:abstractNumId="5">
    <w:lvl w:ilvl="0">
      <w:start w:val="1"/>
      <w:numFmt w:val="decimal"/>
      <w:lvlText w:val="%1."/>
      <w:lvlJc w:val="start"/>
      <w:pPr>
        <w:tabs>
          <w:tab w:val="num" w:pos="643"/>
        </w:tabs>
        <w:ind w:start="643" w:hanging="360"/>
      </w:pPr>
      <w:rPr>
        <w:rFonts w:cs="Times New Roman"/>
      </w:r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rPr>
        <w:rFonts w:cs="Times New Roman"/>
      </w:r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decimal"/>
      <w:lvlText w:val="%1."/>
      <w:lvlJc w:val="start"/>
      <w:pPr>
        <w:tabs>
          <w:tab w:val="num" w:pos="907"/>
        </w:tabs>
        <w:ind w:start="0" w:hanging="0"/>
      </w:pPr>
      <w:rPr>
        <w:rFonts w:cs="Times New Roman"/>
        <w:color w:val="000000"/>
      </w:rPr>
    </w:lvl>
  </w:abstractNum>
  <w:abstractNum w:abstractNumId="13">
    <w:lvl w:ilvl="0">
      <w:start w:val="1"/>
      <w:numFmt w:val="decimal"/>
      <w:lvlText w:val="%1."/>
      <w:lvlJc w:val="start"/>
      <w:pPr>
        <w:tabs>
          <w:tab w:val="num" w:pos="0"/>
        </w:tabs>
        <w:ind w:start="360" w:hanging="360"/>
      </w:pPr>
      <w:rPr>
        <w:sz w:val="24"/>
        <w:szCs w:val="24"/>
        <w:rFonts w:ascii="David" w:hAnsi="David" w:cs="David"/>
      </w:rPr>
    </w:lvl>
    <w:lvl w:ilvl="1">
      <w:start w:val="1"/>
      <w:numFmt w:val="decimal"/>
      <w:lvlText w:val="%1.%2."/>
      <w:lvlJc w:val="start"/>
      <w:pPr>
        <w:tabs>
          <w:tab w:val="num" w:pos="0"/>
        </w:tabs>
        <w:ind w:start="792" w:hanging="432"/>
      </w:pPr>
      <w:rPr>
        <w:rFonts w:cs="Times New Roman"/>
      </w:rPr>
    </w:lvl>
    <w:lvl w:ilvl="2">
      <w:start w:val="1"/>
      <w:numFmt w:val="decimal"/>
      <w:lvlText w:val="%1.%2.%3."/>
      <w:lvlJc w:val="start"/>
      <w:pPr>
        <w:tabs>
          <w:tab w:val="num" w:pos="0"/>
        </w:tabs>
        <w:ind w:start="1224" w:hanging="504"/>
      </w:pPr>
      <w:rPr>
        <w:rFonts w:cs="Times New Roman"/>
      </w:rPr>
    </w:lvl>
    <w:lvl w:ilvl="3">
      <w:start w:val="1"/>
      <w:numFmt w:val="decimal"/>
      <w:lvlText w:val="%1.%2.%3.%4."/>
      <w:lvlJc w:val="start"/>
      <w:pPr>
        <w:tabs>
          <w:tab w:val="num" w:pos="0"/>
        </w:tabs>
        <w:ind w:start="1728" w:hanging="648"/>
      </w:pPr>
      <w:rPr>
        <w:rFonts w:cs="Times New Roman"/>
      </w:rPr>
    </w:lvl>
    <w:lvl w:ilvl="4">
      <w:start w:val="1"/>
      <w:numFmt w:val="decimal"/>
      <w:lvlText w:val="%1.%2.%3.%4.%5."/>
      <w:lvlJc w:val="start"/>
      <w:pPr>
        <w:tabs>
          <w:tab w:val="num" w:pos="0"/>
        </w:tabs>
        <w:ind w:start="2232" w:hanging="792"/>
      </w:pPr>
      <w:rPr>
        <w:rFonts w:cs="Times New Roman"/>
      </w:rPr>
    </w:lvl>
    <w:lvl w:ilvl="5">
      <w:start w:val="1"/>
      <w:numFmt w:val="decimal"/>
      <w:lvlText w:val="%1.%2.%3.%4.%5.%6."/>
      <w:lvlJc w:val="start"/>
      <w:pPr>
        <w:tabs>
          <w:tab w:val="num" w:pos="0"/>
        </w:tabs>
        <w:ind w:start="2736" w:hanging="936"/>
      </w:pPr>
      <w:rPr>
        <w:rFonts w:cs="Times New Roman"/>
      </w:rPr>
    </w:lvl>
    <w:lvl w:ilvl="6">
      <w:start w:val="1"/>
      <w:numFmt w:val="decimal"/>
      <w:lvlText w:val="%1.%2.%3.%4.%5.%6.%7."/>
      <w:lvlJc w:val="start"/>
      <w:pPr>
        <w:tabs>
          <w:tab w:val="num" w:pos="0"/>
        </w:tabs>
        <w:ind w:start="3240" w:hanging="1080"/>
      </w:pPr>
      <w:rPr>
        <w:rFonts w:cs="Times New Roman"/>
      </w:rPr>
    </w:lvl>
    <w:lvl w:ilvl="7">
      <w:start w:val="1"/>
      <w:numFmt w:val="decimal"/>
      <w:lvlText w:val="%1.%2.%3.%4.%5.%6.%7.%8."/>
      <w:lvlJc w:val="start"/>
      <w:pPr>
        <w:tabs>
          <w:tab w:val="num" w:pos="0"/>
        </w:tabs>
        <w:ind w:start="3744" w:hanging="1224"/>
      </w:pPr>
      <w:rPr>
        <w:rFonts w:cs="Times New Roman"/>
      </w:rPr>
    </w:lvl>
    <w:lvl w:ilvl="8">
      <w:start w:val="1"/>
      <w:numFmt w:val="decimal"/>
      <w:lvlText w:val="%1.%2.%3.%4.%5.%6.%7.%8.%9."/>
      <w:lvlJc w:val="start"/>
      <w:pPr>
        <w:tabs>
          <w:tab w:val="num" w:pos="0"/>
        </w:tabs>
        <w:ind w:start="4320" w:hanging="1440"/>
      </w:pPr>
      <w:rPr>
        <w:rFonts w:cs="Times New Roman"/>
      </w:rPr>
    </w:lvl>
  </w:abstractNum>
  <w:abstractNum w:abstractNumId="14">
    <w:lvl w:ilvl="0">
      <w:start w:val="1"/>
      <w:numFmt w:val="decimal"/>
      <w:lvlText w:val="%1."/>
      <w:lvlJc w:val="end"/>
      <w:pPr>
        <w:tabs>
          <w:tab w:val="num" w:pos="454"/>
        </w:tabs>
        <w:ind w:start="510" w:hanging="510"/>
      </w:pPr>
      <w:rPr>
        <w:rFonts w:cs="Times New Roman"/>
      </w:rPr>
    </w:lvl>
    <w:lvl w:ilvl="1">
      <w:start w:val="1"/>
      <w:numFmt w:val="decimal"/>
      <w:lvlText w:val="%1.%2."/>
      <w:lvlJc w:val="start"/>
      <w:pPr>
        <w:tabs>
          <w:tab w:val="num" w:pos="0"/>
        </w:tabs>
        <w:ind w:start="908" w:hanging="454"/>
      </w:pPr>
      <w:rPr>
        <w:rFonts w:cs="Times New Roman"/>
      </w:rPr>
    </w:lvl>
    <w:lvl w:ilvl="2">
      <w:start w:val="1"/>
      <w:numFmt w:val="decimal"/>
      <w:lvlText w:val="%1.%2.%3."/>
      <w:lvlJc w:val="start"/>
      <w:pPr>
        <w:tabs>
          <w:tab w:val="num" w:pos="0"/>
        </w:tabs>
        <w:ind w:start="1362" w:hanging="454"/>
      </w:pPr>
      <w:rPr>
        <w:rFonts w:cs="Times New Roman"/>
      </w:rPr>
    </w:lvl>
    <w:lvl w:ilvl="3">
      <w:start w:val="1"/>
      <w:numFmt w:val="decimal"/>
      <w:lvlText w:val="%1.%2.%3.%4."/>
      <w:lvlJc w:val="start"/>
      <w:pPr>
        <w:tabs>
          <w:tab w:val="num" w:pos="0"/>
        </w:tabs>
        <w:ind w:start="1816" w:hanging="454"/>
      </w:pPr>
      <w:rPr>
        <w:rFonts w:cs="Times New Roman"/>
      </w:rPr>
    </w:lvl>
    <w:lvl w:ilvl="4">
      <w:start w:val="1"/>
      <w:numFmt w:val="decimal"/>
      <w:lvlText w:val="%1.%2.%3.%4.%5."/>
      <w:lvlJc w:val="start"/>
      <w:pPr>
        <w:tabs>
          <w:tab w:val="num" w:pos="0"/>
        </w:tabs>
        <w:ind w:start="2270" w:hanging="454"/>
      </w:pPr>
      <w:rPr>
        <w:rFonts w:cs="Times New Roman"/>
      </w:rPr>
    </w:lvl>
    <w:lvl w:ilvl="5">
      <w:start w:val="1"/>
      <w:numFmt w:val="decimal"/>
      <w:lvlText w:val="%1.%2.%3.%4.%5.%6."/>
      <w:lvlJc w:val="start"/>
      <w:pPr>
        <w:tabs>
          <w:tab w:val="num" w:pos="0"/>
        </w:tabs>
        <w:ind w:start="2724" w:hanging="454"/>
      </w:pPr>
      <w:rPr>
        <w:rFonts w:cs="Times New Roman"/>
      </w:rPr>
    </w:lvl>
    <w:lvl w:ilvl="6">
      <w:start w:val="1"/>
      <w:numFmt w:val="decimal"/>
      <w:lvlText w:val="%1.%2.%3.%4.%5.%6.%7."/>
      <w:lvlJc w:val="start"/>
      <w:pPr>
        <w:tabs>
          <w:tab w:val="num" w:pos="0"/>
        </w:tabs>
        <w:ind w:start="3178" w:hanging="454"/>
      </w:pPr>
      <w:rPr>
        <w:rFonts w:cs="Times New Roman"/>
      </w:rPr>
    </w:lvl>
    <w:lvl w:ilvl="7">
      <w:start w:val="1"/>
      <w:numFmt w:val="decimal"/>
      <w:lvlText w:val="%1.%2.%3.%4.%5.%6.%7.%8."/>
      <w:lvlJc w:val="start"/>
      <w:pPr>
        <w:tabs>
          <w:tab w:val="num" w:pos="0"/>
        </w:tabs>
        <w:ind w:start="3632" w:hanging="454"/>
      </w:pPr>
      <w:rPr>
        <w:rFonts w:cs="Times New Roman"/>
      </w:rPr>
    </w:lvl>
    <w:lvl w:ilvl="8">
      <w:start w:val="1"/>
      <w:numFmt w:val="decimal"/>
      <w:lvlText w:val="%1.%2.%3.%4.%5.%6.%7.%8.%9."/>
      <w:lvlJc w:val="start"/>
      <w:pPr>
        <w:tabs>
          <w:tab w:val="num" w:pos="0"/>
        </w:tabs>
        <w:ind w:start="4086" w:hanging="454"/>
      </w:pPr>
      <w:rPr>
        <w:rFonts w:cs="Times New Roman"/>
      </w:rPr>
    </w:lvl>
  </w:abstractNum>
  <w:abstractNum w:abstractNumId="15">
    <w:lvl w:ilvl="0">
      <w:start w:val="1"/>
      <w:numFmt w:val="decimal"/>
      <w:lvlText w:val="%1."/>
      <w:lvlJc w:val="end"/>
      <w:pPr>
        <w:tabs>
          <w:tab w:val="num" w:pos="0"/>
        </w:tabs>
        <w:ind w:start="1230" w:hanging="360"/>
      </w:pPr>
      <w:rPr>
        <w:rFonts w:cs="Times New Roman"/>
      </w:rPr>
    </w:lvl>
  </w:abstractNum>
  <w:abstractNum w:abstractNumId="16">
    <w:lvl w:ilvl="0">
      <w:start w:val="1"/>
      <w:numFmt w:val="hebrew1"/>
      <w:lvlText w:val="%1."/>
      <w:lvlJc w:val="start"/>
      <w:pPr>
        <w:tabs>
          <w:tab w:val="num" w:pos="907"/>
        </w:tabs>
        <w:ind w:start="0" w:hanging="0"/>
      </w:pPr>
      <w:rPr>
        <w:rFonts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1"/>
  </w:compat>
  <w:docVars>
    <w:docVar w:name="MyInfo" w:val="This document was extracted from Nevo's sit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David"/>
      <w:color w:val="auto"/>
      <w:sz w:val="24"/>
      <w:szCs w:val="24"/>
      <w:lang w:val="en-US" w:bidi="he-IL" w:eastAsia="zh-CN"/>
    </w:rPr>
  </w:style>
  <w:style w:type="paragraph" w:styleId="Heading1">
    <w:name w:val="Heading 1"/>
    <w:basedOn w:val="Normal"/>
    <w:next w:val="Normal"/>
    <w:qFormat/>
    <w:pPr>
      <w:keepNext w:val="true"/>
      <w:keepLines/>
      <w:numPr>
        <w:ilvl w:val="0"/>
        <w:numId w:val="1"/>
      </w:numPr>
      <w:spacing w:before="480" w:after="240"/>
      <w:ind w:hanging="0" w:start="0" w:end="0"/>
      <w:jc w:val="start"/>
      <w:outlineLvl w:val="0"/>
    </w:pPr>
    <w:rPr>
      <w:rFonts w:ascii="Miriam" w:hAnsi="Miriam" w:cs="Miriam"/>
      <w:sz w:val="28"/>
      <w:szCs w:val="28"/>
    </w:rPr>
  </w:style>
  <w:style w:type="paragraph" w:styleId="Heading2">
    <w:name w:val="Heading 2"/>
    <w:basedOn w:val="Normal"/>
    <w:next w:val="Normal"/>
    <w:qFormat/>
    <w:pPr>
      <w:keepNext w:val="true"/>
      <w:keepLines/>
      <w:numPr>
        <w:ilvl w:val="1"/>
        <w:numId w:val="1"/>
      </w:numPr>
      <w:overflowPunct w:val="false"/>
      <w:autoSpaceDE w:val="false"/>
      <w:spacing w:lineRule="auto" w:line="480" w:before="280" w:after="240"/>
      <w:ind w:hanging="0" w:start="0" w:end="0"/>
      <w:jc w:val="both"/>
      <w:textAlignment w:val="baseline"/>
      <w:outlineLvl w:val="1"/>
    </w:pPr>
    <w:rPr>
      <w:rFonts w:ascii="Cambria" w:hAnsi="Cambria" w:cs="Miriam"/>
      <w:spacing w:val="10"/>
      <w:sz w:val="26"/>
      <w:szCs w:val="28"/>
    </w:rPr>
  </w:style>
  <w:style w:type="paragraph" w:styleId="Heading3">
    <w:name w:val="Heading 3"/>
    <w:basedOn w:val="Normal"/>
    <w:next w:val="Normal"/>
    <w:qFormat/>
    <w:pPr>
      <w:keepNext w:val="true"/>
      <w:keepLines/>
      <w:numPr>
        <w:ilvl w:val="2"/>
        <w:numId w:val="1"/>
      </w:numPr>
      <w:spacing w:before="280" w:after="240"/>
      <w:ind w:hanging="0" w:start="0" w:end="0"/>
      <w:jc w:val="start"/>
      <w:outlineLvl w:val="2"/>
    </w:pPr>
    <w:rPr>
      <w:rFonts w:ascii="Cambria" w:hAnsi="Cambria" w:cs="Miriam"/>
      <w:szCs w:val="28"/>
    </w:rPr>
  </w:style>
  <w:style w:type="paragraph" w:styleId="Heading4">
    <w:name w:val="Heading 4"/>
    <w:basedOn w:val="Normal"/>
    <w:next w:val="Normal"/>
    <w:qFormat/>
    <w:pPr>
      <w:keepNext w:val="true"/>
      <w:numPr>
        <w:ilvl w:val="3"/>
        <w:numId w:val="1"/>
      </w:numPr>
      <w:ind w:firstLine="720" w:start="5760" w:end="0"/>
      <w:jc w:val="start"/>
      <w:outlineLvl w:val="3"/>
    </w:pPr>
    <w:rPr>
      <w:rFonts w:cs="Narkisim"/>
      <w:b/>
      <w:bCs/>
    </w:rPr>
  </w:style>
  <w:style w:type="paragraph" w:styleId="Heading5">
    <w:name w:val="Heading 5"/>
    <w:basedOn w:val="Normal"/>
    <w:next w:val="Normal"/>
    <w:qFormat/>
    <w:pPr>
      <w:keepNext w:val="true"/>
      <w:keepLines/>
      <w:numPr>
        <w:ilvl w:val="4"/>
        <w:numId w:val="1"/>
      </w:numPr>
      <w:spacing w:before="40" w:after="0"/>
      <w:ind w:hanging="0" w:start="0" w:end="0"/>
      <w:jc w:val="start"/>
      <w:outlineLvl w:val="4"/>
    </w:pPr>
    <w:rPr>
      <w:rFonts w:ascii="Cambria" w:hAnsi="Cambria" w:cs="Times New Roman"/>
      <w:color w:val="365F91"/>
    </w:rPr>
  </w:style>
  <w:style w:type="paragraph" w:styleId="Heading6">
    <w:name w:val="Heading 6"/>
    <w:basedOn w:val="Normal"/>
    <w:next w:val="Normal"/>
    <w:qFormat/>
    <w:pPr>
      <w:keepNext w:val="true"/>
      <w:keepLines/>
      <w:numPr>
        <w:ilvl w:val="5"/>
        <w:numId w:val="1"/>
      </w:numPr>
      <w:spacing w:before="40" w:after="0"/>
      <w:ind w:hanging="0" w:start="0" w:end="0"/>
      <w:jc w:val="start"/>
      <w:outlineLvl w:val="5"/>
    </w:pPr>
    <w:rPr>
      <w:rFonts w:ascii="Cambria" w:hAnsi="Cambria" w:cs="Times New Roman"/>
      <w:color w:val="243F60"/>
    </w:rPr>
  </w:style>
  <w:style w:type="paragraph" w:styleId="Heading7">
    <w:name w:val="Heading 7"/>
    <w:basedOn w:val="Normal"/>
    <w:next w:val="Normal"/>
    <w:qFormat/>
    <w:pPr>
      <w:keepNext w:val="true"/>
      <w:keepLines/>
      <w:numPr>
        <w:ilvl w:val="6"/>
        <w:numId w:val="1"/>
      </w:numPr>
      <w:spacing w:before="40" w:after="0"/>
      <w:ind w:hanging="0" w:start="0" w:end="0"/>
      <w:jc w:val="start"/>
      <w:outlineLvl w:val="6"/>
    </w:pPr>
    <w:rPr>
      <w:rFonts w:ascii="Cambria" w:hAnsi="Cambria" w:cs="Times New Roman"/>
      <w:i/>
      <w:iCs/>
      <w:color w:val="243F60"/>
    </w:rPr>
  </w:style>
  <w:style w:type="paragraph" w:styleId="Heading8">
    <w:name w:val="Heading 8"/>
    <w:basedOn w:val="Normal"/>
    <w:next w:val="Normal"/>
    <w:qFormat/>
    <w:pPr>
      <w:keepNext w:val="true"/>
      <w:keepLines/>
      <w:numPr>
        <w:ilvl w:val="7"/>
        <w:numId w:val="1"/>
      </w:numPr>
      <w:spacing w:before="40" w:after="0"/>
      <w:ind w:hanging="0" w:start="0" w:end="0"/>
      <w:jc w:val="start"/>
      <w:outlineLvl w:val="7"/>
    </w:pPr>
    <w:rPr>
      <w:rFonts w:ascii="Cambria" w:hAnsi="Cambria" w:cs="Times New Roman"/>
      <w:color w:val="272727"/>
      <w:sz w:val="21"/>
      <w:szCs w:val="21"/>
    </w:rPr>
  </w:style>
  <w:style w:type="paragraph" w:styleId="Heading9">
    <w:name w:val="Heading 9"/>
    <w:basedOn w:val="Normal"/>
    <w:next w:val="Normal"/>
    <w:qFormat/>
    <w:pPr>
      <w:keepNext w:val="true"/>
      <w:keepLines/>
      <w:numPr>
        <w:ilvl w:val="8"/>
        <w:numId w:val="1"/>
      </w:numPr>
      <w:spacing w:before="40" w:after="0"/>
      <w:ind w:hanging="0" w:start="0" w:end="0"/>
      <w:jc w:val="start"/>
      <w:outlineLvl w:val="8"/>
    </w:pPr>
    <w:rPr>
      <w:rFonts w:ascii="Cambria" w:hAnsi="Cambria" w:cs="Times New Roman"/>
      <w:i/>
      <w:iCs/>
      <w:color w:val="272727"/>
      <w:sz w:val="21"/>
      <w:szCs w:val="21"/>
    </w:rPr>
  </w:style>
  <w:style w:type="character" w:styleId="WW8Num1z0">
    <w:name w:val="WW8Num1z0"/>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cs="Times New Roman"/>
    </w:rPr>
  </w:style>
  <w:style w:type="character" w:styleId="WW8Num10z0">
    <w:name w:val="WW8Num10z0"/>
    <w:qFormat/>
    <w:rPr>
      <w:rFonts w:ascii="Symbol" w:hAnsi="Symbol" w:cs="Symbol"/>
    </w:rPr>
  </w:style>
  <w:style w:type="character" w:styleId="WW8Num11z0">
    <w:name w:val="WW8Num11z0"/>
    <w:qFormat/>
    <w:rPr>
      <w:rFonts w:cs="Times New Roman"/>
      <w:color w:val="000000"/>
    </w:rPr>
  </w:style>
  <w:style w:type="character" w:styleId="WW8Num11z1">
    <w:name w:val="WW8Num11z1"/>
    <w:qFormat/>
    <w:rPr>
      <w:rFonts w:cs="Times New Roman"/>
    </w:rPr>
  </w:style>
  <w:style w:type="character" w:styleId="WW8Num12z0">
    <w:name w:val="WW8Num12z0"/>
    <w:qFormat/>
    <w:rPr>
      <w:rFonts w:ascii="David" w:hAnsi="David" w:eastAsia="Times New Roman" w:cs="David"/>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cs="Times New Roman"/>
    </w:rPr>
  </w:style>
  <w:style w:type="character" w:styleId="WW8Num14z0">
    <w:name w:val="WW8Num14z0"/>
    <w:qFormat/>
    <w:rPr>
      <w:rFonts w:ascii="David" w:hAnsi="David" w:cs="David"/>
      <w:sz w:val="24"/>
      <w:szCs w:val="24"/>
    </w:rPr>
  </w:style>
  <w:style w:type="character" w:styleId="WW8Num14z1">
    <w:name w:val="WW8Num14z1"/>
    <w:qFormat/>
    <w:rPr>
      <w:rFonts w:cs="Times New Roman"/>
    </w:rPr>
  </w:style>
  <w:style w:type="character" w:styleId="WW8Num15z0">
    <w:name w:val="WW8Num15z0"/>
    <w:qFormat/>
    <w:rPr>
      <w:rFonts w:cs="Times New Roman"/>
    </w:rPr>
  </w:style>
  <w:style w:type="character" w:styleId="WW8Num16z0">
    <w:name w:val="WW8Num16z0"/>
    <w:qFormat/>
    <w:rPr>
      <w:rFonts w:cs="Times New Roman"/>
    </w:rPr>
  </w:style>
  <w:style w:type="character" w:styleId="WW8Num17z0">
    <w:name w:val="WW8Num17z0"/>
    <w:qFormat/>
    <w:rPr>
      <w:rFonts w:cs="Times New Roman"/>
    </w:rPr>
  </w:style>
  <w:style w:type="character" w:styleId="WW8Num18z0">
    <w:name w:val="WW8Num18z0"/>
    <w:qFormat/>
    <w:rPr>
      <w:rFonts w:cs="Times New Roman"/>
    </w:rPr>
  </w:style>
  <w:style w:type="character" w:styleId="WW8Num19z0">
    <w:name w:val="WW8Num19z0"/>
    <w:qFormat/>
    <w:rPr>
      <w:rFonts w:cs="Times New Roman"/>
    </w:rPr>
  </w:style>
  <w:style w:type="character" w:styleId="WW8Num19z1">
    <w:name w:val="WW8Num19z1"/>
    <w:qFormat/>
    <w:rPr>
      <w:rFonts w:cs="Times New Roman"/>
    </w:rPr>
  </w:style>
  <w:style w:type="character" w:styleId="WW8Num20z0">
    <w:name w:val="WW8Num20z0"/>
    <w:qFormat/>
    <w:rPr>
      <w:rFonts w:cs="Times New Roman"/>
    </w:rPr>
  </w:style>
  <w:style w:type="character" w:styleId="WW8Num20z1">
    <w:name w:val="WW8Num20z1"/>
    <w:qFormat/>
    <w:rPr>
      <w:rFonts w:cs="Times New Roman"/>
    </w:rPr>
  </w:style>
  <w:style w:type="character" w:styleId="WW8Num21z0">
    <w:name w:val="WW8Num21z0"/>
    <w:qFormat/>
    <w:rPr>
      <w:rFonts w:cs="Times New Roman"/>
    </w:rPr>
  </w:style>
  <w:style w:type="character" w:styleId="WW8Num22z0">
    <w:name w:val="WW8Num22z0"/>
    <w:qFormat/>
    <w:rPr>
      <w:rFonts w:cs="Times New Roman"/>
    </w:rPr>
  </w:style>
  <w:style w:type="character" w:styleId="DefaultParagraphFont">
    <w:name w:val="Default Paragraph Font"/>
    <w:qFormat/>
    <w:rPr/>
  </w:style>
  <w:style w:type="character" w:styleId="CommentReference">
    <w:name w:val="Comment Reference"/>
    <w:qFormat/>
    <w:rPr>
      <w:sz w:val="16"/>
    </w:rPr>
  </w:style>
  <w:style w:type="character" w:styleId="LineNumber">
    <w:name w:val="Line Number"/>
    <w:rPr>
      <w:rFonts w:ascii="Calibri" w:hAnsi="Calibri" w:cs="Calibri"/>
      <w:sz w:val="16"/>
    </w:rPr>
  </w:style>
  <w:style w:type="character" w:styleId="PageNumber">
    <w:name w:val="Page Number"/>
    <w:basedOn w:val="DefaultParagraphFont"/>
    <w:rPr/>
  </w:style>
  <w:style w:type="character" w:styleId="PlaceholderText">
    <w:name w:val="Placeholder Text"/>
    <w:qFormat/>
    <w:rPr>
      <w:color w:val="808080"/>
    </w:rPr>
  </w:style>
  <w:style w:type="character" w:styleId="HeaderChar">
    <w:name w:val="Header Char"/>
    <w:qFormat/>
    <w:rPr>
      <w:sz w:val="24"/>
    </w:rPr>
  </w:style>
  <w:style w:type="character" w:styleId="FooterChar">
    <w:name w:val="Footer Char"/>
    <w:qFormat/>
    <w:rPr>
      <w:sz w:val="24"/>
    </w:rPr>
  </w:style>
  <w:style w:type="character" w:styleId="Heading2Char">
    <w:name w:val="Heading 2 Char"/>
    <w:qFormat/>
    <w:rPr>
      <w:rFonts w:ascii="Cambria" w:hAnsi="Cambria" w:cs="Cambria"/>
      <w:spacing w:val="10"/>
      <w:sz w:val="28"/>
    </w:rPr>
  </w:style>
  <w:style w:type="character" w:styleId="Delete">
    <w:name w:val="Delete"/>
    <w:qFormat/>
    <w:rPr>
      <w:strike/>
    </w:rPr>
  </w:style>
  <w:style w:type="character" w:styleId="Hand">
    <w:name w:val="Hand"/>
    <w:qFormat/>
    <w:rPr/>
  </w:style>
  <w:style w:type="character" w:styleId="Ruller3">
    <w:name w:val="Ruller 3 תו"/>
    <w:qFormat/>
    <w:rPr>
      <w:rFonts w:ascii="Century" w:hAnsi="Century" w:cs="Century"/>
      <w:spacing w:val="10"/>
      <w:sz w:val="28"/>
    </w:rPr>
  </w:style>
  <w:style w:type="character" w:styleId="BodyRuller">
    <w:name w:val="Body Ruller תו"/>
    <w:qFormat/>
    <w:rPr>
      <w:rFonts w:ascii="Century" w:hAnsi="Century" w:cs="Century"/>
      <w:spacing w:val="10"/>
      <w:sz w:val="28"/>
    </w:rPr>
  </w:style>
  <w:style w:type="character" w:styleId="Ruller38">
    <w:name w:val="סגנון Ruller 3 + (מורכב) ‏8 נק תו"/>
    <w:qFormat/>
    <w:rPr>
      <w:rFonts w:ascii="Century" w:hAnsi="Century" w:cs="Century"/>
      <w:spacing w:val="10"/>
      <w:sz w:val="16"/>
    </w:rPr>
  </w:style>
  <w:style w:type="character" w:styleId="Hyperlink">
    <w:name w:val="Hyperlink"/>
    <w:rPr>
      <w:color w:val="0000FF"/>
      <w:u w:val="single"/>
    </w:rPr>
  </w:style>
  <w:style w:type="character" w:styleId="Style5">
    <w:name w:val="טקסט הערה תו"/>
    <w:qFormat/>
    <w:rPr>
      <w:rFonts w:ascii="Century" w:hAnsi="Century" w:cs="Century"/>
      <w:spacing w:val="10"/>
    </w:rPr>
  </w:style>
  <w:style w:type="character" w:styleId="CommentTextChar">
    <w:name w:val="Comment Text Char"/>
    <w:qFormat/>
    <w:rPr>
      <w:sz w:val="24"/>
    </w:rPr>
  </w:style>
  <w:style w:type="character" w:styleId="CommentSubjectChar">
    <w:name w:val="Comment Subject Char"/>
    <w:qFormat/>
    <w:rPr>
      <w:rFonts w:ascii="Century" w:hAnsi="Century" w:cs="Century"/>
      <w:b/>
      <w:spacing w:val="10"/>
      <w:sz w:val="24"/>
    </w:rPr>
  </w:style>
  <w:style w:type="character" w:styleId="BalloonTextChar">
    <w:name w:val="Balloon Text Char"/>
    <w:qFormat/>
    <w:rPr>
      <w:rFonts w:ascii="Tahoma" w:hAnsi="Tahoma" w:cs="Tahoma"/>
      <w:sz w:val="16"/>
    </w:rPr>
  </w:style>
  <w:style w:type="character" w:styleId="Ruller4">
    <w:name w:val="Ruller 4 ממוספר תו"/>
    <w:qFormat/>
    <w:rPr>
      <w:rFonts w:ascii="Garamond" w:hAnsi="Garamond" w:cs="FrankRuehl"/>
      <w:spacing w:val="10"/>
      <w:sz w:val="24"/>
      <w:szCs w:val="28"/>
      <w:lang w:val="en-US" w:bidi="he-IL"/>
    </w:rPr>
  </w:style>
  <w:style w:type="character" w:styleId="Ruller41">
    <w:name w:val="Ruller4 תו"/>
    <w:qFormat/>
    <w:rPr>
      <w:rFonts w:ascii="Arial TUR" w:hAnsi="Arial TUR" w:cs="Arial TUR"/>
      <w:spacing w:val="10"/>
      <w:sz w:val="28"/>
    </w:rPr>
  </w:style>
  <w:style w:type="character" w:styleId="ruller42">
    <w:name w:val="ruller42"/>
    <w:qFormat/>
    <w:rPr/>
  </w:style>
  <w:style w:type="character" w:styleId="term1">
    <w:name w:val="term_1"/>
    <w:qFormat/>
    <w:rPr/>
  </w:style>
  <w:style w:type="character" w:styleId="FollowedHyperlink">
    <w:name w:val="FollowedHyperlink"/>
    <w:rPr>
      <w:color w:val="800080"/>
      <w:u w:val="single"/>
    </w:rPr>
  </w:style>
  <w:style w:type="character" w:styleId="HTMLCite">
    <w:name w:val="HTML Cite"/>
    <w:qFormat/>
    <w:rPr>
      <w:i/>
    </w:rPr>
  </w:style>
  <w:style w:type="character" w:styleId="HTMLCode">
    <w:name w:val="HTML Code"/>
    <w:qFormat/>
    <w:rPr>
      <w:rFonts w:ascii="Consolas" w:hAnsi="Consolas" w:cs="Consolas"/>
      <w:sz w:val="20"/>
    </w:rPr>
  </w:style>
  <w:style w:type="character" w:styleId="HTMLDefinition">
    <w:name w:val="HTML Definition"/>
    <w:qFormat/>
    <w:rPr>
      <w:i/>
    </w:rPr>
  </w:style>
  <w:style w:type="character" w:styleId="HTMLVariable">
    <w:name w:val="HTML Variable"/>
    <w:qFormat/>
    <w:rPr>
      <w:i/>
    </w:rPr>
  </w:style>
  <w:style w:type="character" w:styleId="HTMLPreformattedChar">
    <w:name w:val="HTML Preformatted Char"/>
    <w:qFormat/>
    <w:rPr>
      <w:rFonts w:ascii="Consolas" w:hAnsi="Consolas" w:cs="Consolas"/>
    </w:rPr>
  </w:style>
  <w:style w:type="character" w:styleId="SalutationChar">
    <w:name w:val="Salutation Char"/>
    <w:qFormat/>
    <w:rPr>
      <w:sz w:val="24"/>
    </w:rPr>
  </w:style>
  <w:style w:type="character" w:styleId="BodyTextChar">
    <w:name w:val="Body Text Char"/>
    <w:qFormat/>
    <w:rPr>
      <w:sz w:val="24"/>
    </w:rPr>
  </w:style>
  <w:style w:type="character" w:styleId="BodyText2Char">
    <w:name w:val="Body Text 2 Char"/>
    <w:qFormat/>
    <w:rPr>
      <w:sz w:val="24"/>
    </w:rPr>
  </w:style>
  <w:style w:type="character" w:styleId="BodyText3Char">
    <w:name w:val="Body Text 3 Char"/>
    <w:qFormat/>
    <w:rPr>
      <w:sz w:val="16"/>
    </w:rPr>
  </w:style>
  <w:style w:type="character" w:styleId="HTMLSample">
    <w:name w:val="HTML Sample"/>
    <w:qFormat/>
    <w:rPr>
      <w:rFonts w:ascii="Consolas" w:hAnsi="Consolas" w:cs="Consolas"/>
      <w:sz w:val="24"/>
    </w:rPr>
  </w:style>
  <w:style w:type="character" w:styleId="Emphasis">
    <w:name w:val="Emphasis"/>
    <w:qFormat/>
    <w:rPr>
      <w:i/>
    </w:rPr>
  </w:style>
  <w:style w:type="character" w:styleId="IntenseEmphasis">
    <w:name w:val="Intense Emphasis"/>
    <w:qFormat/>
    <w:rPr>
      <w:i/>
      <w:color w:val="4F81BD"/>
    </w:rPr>
  </w:style>
  <w:style w:type="character" w:styleId="SubtleEmphasis">
    <w:name w:val="Subtle Emphasis"/>
    <w:qFormat/>
    <w:rPr>
      <w:i/>
      <w:color w:val="404040"/>
    </w:rPr>
  </w:style>
  <w:style w:type="character" w:styleId="IntenseReference">
    <w:name w:val="Intense Reference"/>
    <w:qFormat/>
    <w:rPr>
      <w:b/>
      <w:smallCaps/>
      <w:color w:val="4F81BD"/>
      <w:spacing w:val="5"/>
    </w:rPr>
  </w:style>
  <w:style w:type="character" w:styleId="EndnoteCharacters">
    <w:name w:val="Endnote Characters"/>
    <w:qFormat/>
    <w:rPr>
      <w:vertAlign w:val="superscript"/>
    </w:rPr>
  </w:style>
  <w:style w:type="character" w:styleId="FootnoteCharacters">
    <w:name w:val="Footnote Characters"/>
    <w:qFormat/>
    <w:rPr>
      <w:vertAlign w:val="superscript"/>
    </w:rPr>
  </w:style>
  <w:style w:type="character" w:styleId="SubtleReference">
    <w:name w:val="Subtle Reference"/>
    <w:qFormat/>
    <w:rPr>
      <w:smallCaps/>
      <w:color w:val="5A5A5A"/>
    </w:rPr>
  </w:style>
  <w:style w:type="character" w:styleId="Strong">
    <w:name w:val="Strong"/>
    <w:qFormat/>
    <w:rPr>
      <w:b/>
    </w:rPr>
  </w:style>
  <w:style w:type="character" w:styleId="SignatureChar">
    <w:name w:val="Signature Char"/>
    <w:qFormat/>
    <w:rPr>
      <w:sz w:val="24"/>
    </w:rPr>
  </w:style>
  <w:style w:type="character" w:styleId="E-mailSignatureChar">
    <w:name w:val="E-mail Signature Char"/>
    <w:qFormat/>
    <w:rPr>
      <w:sz w:val="24"/>
    </w:rPr>
  </w:style>
  <w:style w:type="character" w:styleId="EndnoteTextChar">
    <w:name w:val="Endnote Text Char"/>
    <w:qFormat/>
    <w:rPr/>
  </w:style>
  <w:style w:type="character" w:styleId="FootnoteTextChar">
    <w:name w:val="Footnote Text Char"/>
    <w:qFormat/>
    <w:rPr/>
  </w:style>
  <w:style w:type="character" w:styleId="MacroTextChar">
    <w:name w:val="Macro Text Char"/>
    <w:qFormat/>
    <w:rPr>
      <w:rFonts w:ascii="Consolas" w:hAnsi="Consolas" w:cs="Consolas"/>
    </w:rPr>
  </w:style>
  <w:style w:type="character" w:styleId="PlainTextChar">
    <w:name w:val="Plain Text Char"/>
    <w:qFormat/>
    <w:rPr>
      <w:rFonts w:ascii="Consolas" w:hAnsi="Consolas" w:cs="Consolas"/>
      <w:sz w:val="21"/>
    </w:rPr>
  </w:style>
  <w:style w:type="character" w:styleId="BookTitle">
    <w:name w:val="Book Title"/>
    <w:qFormat/>
    <w:rPr>
      <w:b/>
      <w:i/>
      <w:spacing w:val="5"/>
    </w:rPr>
  </w:style>
  <w:style w:type="character" w:styleId="Heading1Char">
    <w:name w:val="Heading 1 Char"/>
    <w:qFormat/>
    <w:rPr>
      <w:rFonts w:ascii="Miriam" w:hAnsi="Miriam" w:cs="Miriam"/>
      <w:sz w:val="28"/>
    </w:rPr>
  </w:style>
  <w:style w:type="character" w:styleId="Heading3Char">
    <w:name w:val="Heading 3 Char"/>
    <w:qFormat/>
    <w:rPr>
      <w:rFonts w:ascii="Cambria" w:hAnsi="Cambria" w:cs="Cambria"/>
      <w:sz w:val="28"/>
    </w:rPr>
  </w:style>
  <w:style w:type="character" w:styleId="Heading5Char">
    <w:name w:val="Heading 5 Char"/>
    <w:qFormat/>
    <w:rPr>
      <w:rFonts w:ascii="Cambria" w:hAnsi="Cambria" w:cs="Cambria"/>
      <w:color w:val="365F91"/>
      <w:sz w:val="24"/>
    </w:rPr>
  </w:style>
  <w:style w:type="character" w:styleId="Heading6Char">
    <w:name w:val="Heading 6 Char"/>
    <w:qFormat/>
    <w:rPr>
      <w:rFonts w:ascii="Cambria" w:hAnsi="Cambria" w:cs="Cambria"/>
      <w:color w:val="243F60"/>
      <w:sz w:val="24"/>
    </w:rPr>
  </w:style>
  <w:style w:type="character" w:styleId="Heading7Char">
    <w:name w:val="Heading 7 Char"/>
    <w:qFormat/>
    <w:rPr>
      <w:rFonts w:ascii="Cambria" w:hAnsi="Cambria" w:cs="Cambria"/>
      <w:i/>
      <w:color w:val="243F60"/>
      <w:sz w:val="24"/>
    </w:rPr>
  </w:style>
  <w:style w:type="character" w:styleId="Heading8Char">
    <w:name w:val="Heading 8 Char"/>
    <w:qFormat/>
    <w:rPr>
      <w:rFonts w:ascii="Cambria" w:hAnsi="Cambria" w:cs="Cambria"/>
      <w:color w:val="272727"/>
      <w:sz w:val="21"/>
    </w:rPr>
  </w:style>
  <w:style w:type="character" w:styleId="Heading9Char">
    <w:name w:val="Heading 9 Char"/>
    <w:qFormat/>
    <w:rPr>
      <w:rFonts w:ascii="Cambria" w:hAnsi="Cambria" w:cs="Cambria"/>
      <w:i/>
      <w:color w:val="272727"/>
      <w:sz w:val="21"/>
    </w:rPr>
  </w:style>
  <w:style w:type="character" w:styleId="NoteHeadingChar">
    <w:name w:val="Note Heading Char"/>
    <w:qFormat/>
    <w:rPr>
      <w:sz w:val="24"/>
    </w:rPr>
  </w:style>
  <w:style w:type="character" w:styleId="TitleChar">
    <w:name w:val="Title Char"/>
    <w:qFormat/>
    <w:rPr>
      <w:rFonts w:ascii="Cambria" w:hAnsi="Cambria" w:cs="Cambria"/>
      <w:spacing w:val="-10"/>
      <w:kern w:val="2"/>
      <w:sz w:val="56"/>
    </w:rPr>
  </w:style>
  <w:style w:type="character" w:styleId="SubtitleChar">
    <w:name w:val="Subtitle Char"/>
    <w:qFormat/>
    <w:rPr>
      <w:rFonts w:ascii="Calibri" w:hAnsi="Calibri" w:cs="Calibri"/>
      <w:color w:val="5A5A5A"/>
      <w:spacing w:val="15"/>
      <w:sz w:val="22"/>
    </w:rPr>
  </w:style>
  <w:style w:type="character" w:styleId="MessageHeaderChar">
    <w:name w:val="Message Header Char"/>
    <w:qFormat/>
    <w:rPr>
      <w:rFonts w:ascii="Cambria" w:hAnsi="Cambria" w:cs="Cambria"/>
      <w:sz w:val="24"/>
      <w:shd w:fill="CCCCCC" w:val="clear"/>
    </w:rPr>
  </w:style>
  <w:style w:type="character" w:styleId="BodyTextIndentChar">
    <w:name w:val="Body Text Indent Char"/>
    <w:qFormat/>
    <w:rPr>
      <w:sz w:val="24"/>
    </w:rPr>
  </w:style>
  <w:style w:type="character" w:styleId="BodyTextIndent2Char">
    <w:name w:val="Body Text Indent 2 Char"/>
    <w:qFormat/>
    <w:rPr>
      <w:sz w:val="24"/>
    </w:rPr>
  </w:style>
  <w:style w:type="character" w:styleId="BodyTextIndent3Char">
    <w:name w:val="Body Text Indent 3 Char"/>
    <w:qFormat/>
    <w:rPr>
      <w:sz w:val="16"/>
    </w:rPr>
  </w:style>
  <w:style w:type="character" w:styleId="BodyTextFirstIndentChar">
    <w:name w:val="Body Text First Indent Char"/>
    <w:qFormat/>
    <w:rPr>
      <w:sz w:val="24"/>
    </w:rPr>
  </w:style>
  <w:style w:type="character" w:styleId="BodyTextFirstIndent2Char">
    <w:name w:val="Body Text First Indent 2 Char"/>
    <w:qFormat/>
    <w:rPr>
      <w:sz w:val="24"/>
    </w:rPr>
  </w:style>
  <w:style w:type="character" w:styleId="HTMLAddressChar">
    <w:name w:val="HTML Address Char"/>
    <w:qFormat/>
    <w:rPr>
      <w:i/>
      <w:sz w:val="24"/>
    </w:rPr>
  </w:style>
  <w:style w:type="character" w:styleId="HTMLTypewriter">
    <w:name w:val="HTML Typewriter"/>
    <w:qFormat/>
    <w:rPr>
      <w:rFonts w:ascii="Consolas" w:hAnsi="Consolas" w:cs="Consolas"/>
      <w:sz w:val="20"/>
    </w:rPr>
  </w:style>
  <w:style w:type="character" w:styleId="DocumentMapChar">
    <w:name w:val="Document Map Char"/>
    <w:qFormat/>
    <w:rPr>
      <w:rFonts w:ascii="Tahoma" w:hAnsi="Tahoma" w:cs="Tahoma"/>
      <w:sz w:val="16"/>
    </w:rPr>
  </w:style>
  <w:style w:type="character" w:styleId="HTMLKeyboard">
    <w:name w:val="HTML Keyboard"/>
    <w:qFormat/>
    <w:rPr>
      <w:rFonts w:ascii="Consolas" w:hAnsi="Consolas" w:cs="Consolas"/>
      <w:sz w:val="20"/>
    </w:rPr>
  </w:style>
  <w:style w:type="character" w:styleId="ClosingChar">
    <w:name w:val="Closing Char"/>
    <w:qFormat/>
    <w:rPr>
      <w:sz w:val="24"/>
    </w:rPr>
  </w:style>
  <w:style w:type="character" w:styleId="QuoteChar">
    <w:name w:val="Quote Char"/>
    <w:qFormat/>
    <w:rPr>
      <w:i/>
      <w:color w:val="404040"/>
      <w:sz w:val="24"/>
    </w:rPr>
  </w:style>
  <w:style w:type="character" w:styleId="IntenseQuoteChar">
    <w:name w:val="Intense Quote Char"/>
    <w:qFormat/>
    <w:rPr>
      <w:i/>
      <w:color w:val="4F81BD"/>
      <w:sz w:val="24"/>
    </w:rPr>
  </w:style>
  <w:style w:type="character" w:styleId="HTMLAcronym">
    <w:name w:val="HTML Acronym"/>
    <w:basedOn w:val="DefaultParagraphFont"/>
    <w:qFormat/>
    <w:rPr/>
  </w:style>
  <w:style w:type="character" w:styleId="DateChar">
    <w:name w:val="Date Char"/>
    <w:qFormat/>
    <w:rPr>
      <w:sz w:val="24"/>
    </w:rPr>
  </w:style>
  <w:style w:type="paragraph" w:styleId="Heading">
    <w:name w:val="Heading"/>
    <w:basedOn w:val="Normal"/>
    <w:next w:val="Normal"/>
    <w:qFormat/>
    <w:pPr>
      <w:spacing w:before="0" w:after="0"/>
      <w:ind w:hanging="0" w:start="0" w:end="0"/>
      <w:contextualSpacing/>
      <w:jc w:val="start"/>
    </w:pPr>
    <w:rPr>
      <w:rFonts w:ascii="Cambria" w:hAnsi="Cambria" w:cs="Times New Roman"/>
      <w:spacing w:val="-10"/>
      <w:kern w:val="2"/>
      <w:sz w:val="56"/>
      <w:szCs w:val="56"/>
    </w:rPr>
  </w:style>
  <w:style w:type="paragraph" w:styleId="BodyText">
    <w:name w:val="Body Text"/>
    <w:basedOn w:val="Normal"/>
    <w:pPr>
      <w:spacing w:before="0" w:after="120"/>
      <w:ind w:hanging="0" w:start="0" w:end="0"/>
      <w:jc w:val="start"/>
    </w:pPr>
    <w:rPr/>
  </w:style>
  <w:style w:type="paragraph" w:styleId="List">
    <w:name w:val="List"/>
    <w:basedOn w:val="Normal"/>
    <w:pPr>
      <w:spacing w:before="0" w:after="0"/>
      <w:ind w:hanging="283" w:start="283" w:end="0"/>
      <w:contextualSpacing/>
      <w:jc w:val="start"/>
    </w:pPr>
    <w:rPr/>
  </w:style>
  <w:style w:type="paragraph" w:styleId="Caption">
    <w:name w:val="Caption"/>
    <w:basedOn w:val="Normal"/>
    <w:next w:val="Normal"/>
    <w:qFormat/>
    <w:pPr>
      <w:spacing w:before="0" w:after="200"/>
      <w:ind w:hanging="0" w:start="0" w:end="0"/>
      <w:jc w:val="start"/>
    </w:pPr>
    <w:rPr>
      <w:i/>
      <w:iCs/>
      <w:color w:val="1F497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Style6">
    <w:name w:val="סעיפים"/>
    <w:basedOn w:val="Normal"/>
    <w:qFormat/>
    <w:pPr>
      <w:tabs>
        <w:tab w:val="clear" w:pos="720"/>
        <w:tab w:val="left" w:pos="567" w:leader="none"/>
        <w:tab w:val="left" w:pos="1134" w:leader="none"/>
        <w:tab w:val="left" w:pos="1701" w:leader="none"/>
        <w:tab w:val="left" w:pos="2268" w:leader="none"/>
        <w:tab w:val="left" w:pos="2835" w:leader="none"/>
        <w:tab w:val="left" w:pos="3402" w:leader="none"/>
        <w:tab w:val="left" w:pos="3969" w:leader="none"/>
      </w:tabs>
      <w:spacing w:lineRule="auto" w:line="360"/>
      <w:ind w:hanging="0" w:start="0" w:end="0"/>
      <w:jc w:val="both"/>
    </w:pPr>
    <w:rPr/>
  </w:style>
  <w:style w:type="paragraph" w:styleId="CommentText">
    <w:name w:val="Comment Text"/>
    <w:basedOn w:val="Normal"/>
    <w:qFormat/>
    <w:pPr>
      <w:ind w:hanging="0" w:start="0" w:end="0"/>
      <w:jc w:val="start"/>
    </w:pPr>
    <w:rPr>
      <w:rFonts w:cs="Times New Roman"/>
    </w:rPr>
  </w:style>
  <w:style w:type="paragraph" w:styleId="BalloonText">
    <w:name w:val="Balloon Text"/>
    <w:basedOn w:val="Normal"/>
    <w:qFormat/>
    <w:pPr>
      <w:ind w:hanging="0" w:start="0" w:end="0"/>
      <w:jc w:val="start"/>
    </w:pPr>
    <w:rPr>
      <w:rFonts w:ascii="Tahoma" w:hAnsi="Tahoma" w:cs="Tahoma"/>
      <w:sz w:val="16"/>
      <w:szCs w:val="16"/>
    </w:rPr>
  </w:style>
  <w:style w:type="paragraph" w:styleId="Ruller31">
    <w:name w:val="Ruller 3"/>
    <w:basedOn w:val="Normal"/>
    <w:qFormat/>
    <w:pPr>
      <w:tabs>
        <w:tab w:val="clear" w:pos="720"/>
        <w:tab w:val="left" w:pos="3210" w:leader="none"/>
        <w:tab w:val="left" w:pos="6753" w:leader="none"/>
      </w:tabs>
      <w:overflowPunct w:val="false"/>
      <w:autoSpaceDE w:val="false"/>
      <w:spacing w:lineRule="auto" w:line="360"/>
      <w:ind w:hanging="0" w:start="0" w:end="0"/>
      <w:jc w:val="start"/>
      <w:textAlignment w:val="baseline"/>
    </w:pPr>
    <w:rPr>
      <w:rFonts w:ascii="Century" w:hAnsi="Century" w:cs="FrankRuehl"/>
      <w:spacing w:val="10"/>
      <w:sz w:val="22"/>
      <w:szCs w:val="28"/>
    </w:rPr>
  </w:style>
  <w:style w:type="paragraph" w:styleId="Pskdinhead">
    <w:name w:val="Pskdin head"/>
    <w:basedOn w:val="Normal"/>
    <w:qFormat/>
    <w:pPr>
      <w:overflowPunct w:val="false"/>
      <w:autoSpaceDE w:val="false"/>
      <w:spacing w:lineRule="auto" w:line="360"/>
      <w:ind w:hanging="0" w:start="0" w:end="0"/>
      <w:jc w:val="start"/>
      <w:textAlignment w:val="baseline"/>
    </w:pPr>
    <w:rPr>
      <w:rFonts w:ascii="Century" w:hAnsi="Century" w:cs="FrankRuehl"/>
      <w:b/>
      <w:bCs/>
      <w:spacing w:val="10"/>
      <w:sz w:val="20"/>
      <w:szCs w:val="28"/>
      <w:u w:val="single"/>
    </w:rPr>
  </w:style>
  <w:style w:type="paragraph" w:styleId="FileNumber">
    <w:name w:val="File Number"/>
    <w:basedOn w:val="Normal"/>
    <w:qFormat/>
    <w:pPr>
      <w:overflowPunct w:val="false"/>
      <w:autoSpaceDE w:val="false"/>
      <w:spacing w:lineRule="auto" w:line="360"/>
      <w:ind w:hanging="0" w:start="0" w:end="0"/>
      <w:jc w:val="end"/>
      <w:textAlignment w:val="baseline"/>
    </w:pPr>
    <w:rPr>
      <w:rFonts w:ascii="Century" w:hAnsi="Century" w:cs="FrankRuehl"/>
      <w:bCs/>
      <w:spacing w:val="10"/>
      <w:sz w:val="20"/>
      <w:szCs w:val="28"/>
    </w:rPr>
  </w:style>
  <w:style w:type="paragraph" w:styleId="FirstpagestylePsakdin">
    <w:name w:val="First page style Psak din"/>
    <w:basedOn w:val="Ruller31"/>
    <w:qFormat/>
    <w:pPr>
      <w:tabs>
        <w:tab w:val="clear" w:pos="3210"/>
        <w:tab w:val="left" w:pos="3209" w:leader="none"/>
        <w:tab w:val="left" w:pos="6753" w:leader="none"/>
      </w:tabs>
      <w:ind w:hanging="0" w:start="0" w:end="0"/>
      <w:jc w:val="start"/>
    </w:pPr>
    <w:rPr>
      <w:bCs/>
    </w:rPr>
  </w:style>
  <w:style w:type="paragraph" w:styleId="TyutaDate">
    <w:name w:val="Tyuta Date"/>
    <w:basedOn w:val="Normal"/>
    <w:qFormat/>
    <w:pPr>
      <w:overflowPunct w:val="false"/>
      <w:autoSpaceDE w:val="false"/>
      <w:spacing w:lineRule="auto" w:line="360"/>
      <w:ind w:hanging="0" w:start="0" w:end="0"/>
      <w:jc w:val="center"/>
      <w:textAlignment w:val="baseline"/>
    </w:pPr>
    <w:rPr>
      <w:rFonts w:ascii="Century" w:hAnsi="Century" w:cs="FrankRuehl"/>
      <w:b/>
      <w:bCs/>
      <w:i/>
      <w:iCs/>
      <w:spacing w:val="10"/>
      <w:sz w:val="28"/>
      <w:szCs w:val="28"/>
    </w:rPr>
  </w:style>
  <w:style w:type="paragraph" w:styleId="DocumentHead">
    <w:name w:val="Document Head"/>
    <w:basedOn w:val="Normal"/>
    <w:qFormat/>
    <w:pPr>
      <w:overflowPunct w:val="false"/>
      <w:autoSpaceDE w:val="false"/>
      <w:spacing w:lineRule="auto" w:line="360"/>
      <w:ind w:hanging="0" w:start="0" w:end="0"/>
      <w:jc w:val="center"/>
      <w:textAlignment w:val="baseline"/>
    </w:pPr>
    <w:rPr>
      <w:rFonts w:ascii="Century" w:hAnsi="Century" w:cs="FrankRuehl"/>
      <w:bCs/>
      <w:spacing w:val="30"/>
      <w:sz w:val="20"/>
      <w:szCs w:val="28"/>
      <w:u w:val="single"/>
    </w:rPr>
  </w:style>
  <w:style w:type="paragraph" w:styleId="TfutzaList">
    <w:name w:val="Tfutza List"/>
    <w:basedOn w:val="Normal"/>
    <w:qFormat/>
    <w:pPr>
      <w:overflowPunct w:val="false"/>
      <w:autoSpaceDE w:val="false"/>
      <w:spacing w:lineRule="auto" w:line="360"/>
      <w:ind w:hanging="0" w:start="0" w:end="0"/>
      <w:jc w:val="start"/>
      <w:textAlignment w:val="baseline"/>
    </w:pPr>
    <w:rPr>
      <w:rFonts w:ascii="Century" w:hAnsi="Century" w:cs="FrankRuehl"/>
      <w:i/>
      <w:iCs/>
      <w:spacing w:val="10"/>
      <w:sz w:val="20"/>
      <w:szCs w:val="28"/>
    </w:rPr>
  </w:style>
  <w:style w:type="paragraph" w:styleId="Ruller43">
    <w:name w:val="Ruller4"/>
    <w:basedOn w:val="Normal"/>
    <w:qFormat/>
    <w:pPr>
      <w:tabs>
        <w:tab w:val="clear" w:pos="720"/>
        <w:tab w:val="left" w:pos="800" w:leader="none"/>
      </w:tabs>
      <w:overflowPunct w:val="false"/>
      <w:autoSpaceDE w:val="false"/>
      <w:spacing w:lineRule="auto" w:line="360"/>
      <w:ind w:hanging="0" w:start="0" w:end="0"/>
      <w:jc w:val="both"/>
      <w:textAlignment w:val="baseline"/>
    </w:pPr>
    <w:rPr>
      <w:rFonts w:ascii="Arial TUR" w:hAnsi="Arial TUR" w:cs="FrankRuehl"/>
      <w:spacing w:val="10"/>
      <w:sz w:val="22"/>
      <w:szCs w:val="28"/>
    </w:rPr>
  </w:style>
  <w:style w:type="paragraph" w:styleId="Ruller5">
    <w:name w:val="Ruller5"/>
    <w:basedOn w:val="Normal"/>
    <w:qFormat/>
    <w:pPr>
      <w:overflowPunct w:val="false"/>
      <w:autoSpaceDE w:val="false"/>
      <w:ind w:hanging="0" w:start="1644" w:end="1276"/>
      <w:jc w:val="both"/>
      <w:textAlignment w:val="baseline"/>
    </w:pPr>
    <w:rPr>
      <w:rFonts w:ascii="Arial TUR" w:hAnsi="Arial TUR" w:cs="FrankRuehl"/>
      <w:spacing w:val="10"/>
      <w:sz w:val="22"/>
      <w:szCs w:val="28"/>
    </w:rPr>
  </w:style>
  <w:style w:type="paragraph" w:styleId="Ruller6">
    <w:name w:val="Ruller6"/>
    <w:basedOn w:val="Normal"/>
    <w:qFormat/>
    <w:pPr>
      <w:tabs>
        <w:tab w:val="clear" w:pos="720"/>
        <w:tab w:val="left" w:pos="794" w:leader="none"/>
        <w:tab w:val="left" w:pos="2268" w:leader="none"/>
        <w:tab w:val="left" w:pos="5783" w:leader="none"/>
        <w:tab w:val="left" w:pos="7371" w:leader="none"/>
      </w:tabs>
      <w:overflowPunct w:val="false"/>
      <w:autoSpaceDE w:val="false"/>
      <w:spacing w:lineRule="auto" w:line="360"/>
      <w:ind w:hanging="0" w:start="0" w:end="0"/>
      <w:jc w:val="start"/>
      <w:textAlignment w:val="baseline"/>
    </w:pPr>
    <w:rPr>
      <w:rFonts w:ascii="Arial TUR" w:hAnsi="Arial TUR" w:cs="DavidFix"/>
      <w:spacing w:val="10"/>
      <w:sz w:val="22"/>
      <w:szCs w:val="20"/>
    </w:rPr>
  </w:style>
  <w:style w:type="paragraph" w:styleId="WriterName">
    <w:name w:val="Writer Name"/>
    <w:basedOn w:val="Ruller43"/>
    <w:next w:val="Ruller43"/>
    <w:qFormat/>
    <w:pPr>
      <w:ind w:hanging="0" w:start="0" w:end="0"/>
      <w:jc w:val="both"/>
    </w:pPr>
    <w:rPr>
      <w:rFonts w:cs="David"/>
      <w:b/>
      <w:bCs/>
      <w:u w:val="single"/>
    </w:rPr>
  </w:style>
  <w:style w:type="paragraph" w:styleId="2">
    <w:name w:val="ñâðåï2"/>
    <w:basedOn w:val="Normal"/>
    <w:qFormat/>
    <w:pPr>
      <w:autoSpaceDE w:val="false"/>
      <w:spacing w:lineRule="auto" w:line="360"/>
      <w:ind w:hanging="0" w:start="0" w:end="0"/>
      <w:jc w:val="start"/>
    </w:pPr>
    <w:rPr>
      <w:rFonts w:ascii="Century" w:hAnsi="Century" w:cs="Times New Roman"/>
      <w:spacing w:val="10"/>
      <w:sz w:val="20"/>
      <w:szCs w:val="28"/>
    </w:rPr>
  </w:style>
  <w:style w:type="paragraph" w:styleId="Casenameintextbody">
    <w:name w:val="Case name in text body"/>
    <w:basedOn w:val="Normal"/>
    <w:qFormat/>
    <w:pPr>
      <w:autoSpaceDE w:val="false"/>
      <w:spacing w:lineRule="auto" w:line="360"/>
      <w:ind w:hanging="0" w:start="0" w:end="0"/>
      <w:jc w:val="end"/>
    </w:pPr>
    <w:rPr>
      <w:rFonts w:ascii="Century" w:hAnsi="Century" w:cs="Times New Roman"/>
      <w:b/>
      <w:bCs/>
      <w:spacing w:val="10"/>
      <w:sz w:val="20"/>
      <w:szCs w:val="28"/>
      <w:u w:val="single"/>
    </w:rPr>
  </w:style>
  <w:style w:type="paragraph" w:styleId="precasestyle">
    <w:name w:val="pre_case style"/>
    <w:basedOn w:val="Normal"/>
    <w:qFormat/>
    <w:pPr>
      <w:tabs>
        <w:tab w:val="clear" w:pos="720"/>
        <w:tab w:val="left" w:pos="2552" w:leader="none"/>
      </w:tabs>
      <w:autoSpaceDE w:val="false"/>
      <w:spacing w:lineRule="auto" w:line="360"/>
      <w:ind w:hanging="0" w:start="0" w:end="2549"/>
      <w:jc w:val="start"/>
    </w:pPr>
    <w:rPr>
      <w:rFonts w:ascii="Century" w:hAnsi="Century" w:cs="Times New Roman"/>
      <w:spacing w:val="10"/>
      <w:sz w:val="20"/>
      <w:szCs w:val="28"/>
    </w:rPr>
  </w:style>
  <w:style w:type="paragraph" w:styleId="BodyRuller1">
    <w:name w:val="Body Ruller"/>
    <w:basedOn w:val="Normal"/>
    <w:qFormat/>
    <w:pPr>
      <w:overflowPunct w:val="false"/>
      <w:autoSpaceDE w:val="false"/>
      <w:spacing w:lineRule="auto" w:line="360"/>
      <w:ind w:hanging="0" w:start="0" w:end="0"/>
      <w:jc w:val="start"/>
      <w:textAlignment w:val="baseline"/>
    </w:pPr>
    <w:rPr>
      <w:rFonts w:ascii="Century" w:hAnsi="Century" w:cs="FrankRuehl"/>
      <w:spacing w:val="10"/>
      <w:sz w:val="22"/>
      <w:szCs w:val="28"/>
    </w:rPr>
  </w:style>
  <w:style w:type="paragraph" w:styleId="Ruller381">
    <w:name w:val="סגנון Ruller 3 + (מורכב) ‏8 נק"/>
    <w:basedOn w:val="BodyRuller1"/>
    <w:qFormat/>
    <w:pPr>
      <w:ind w:hanging="0" w:start="0" w:end="0"/>
      <w:jc w:val="start"/>
    </w:pPr>
    <w:rPr>
      <w:szCs w:val="16"/>
    </w:rPr>
  </w:style>
  <w:style w:type="paragraph" w:styleId="Ruller44">
    <w:name w:val="Ruller 4 ממוספר"/>
    <w:basedOn w:val="Ruller43"/>
    <w:next w:val="Ruller43"/>
    <w:qFormat/>
    <w:pPr>
      <w:numPr>
        <w:ilvl w:val="0"/>
        <w:numId w:val="12"/>
      </w:numPr>
      <w:ind w:hanging="0" w:start="0" w:end="0"/>
      <w:jc w:val="both"/>
    </w:pPr>
    <w:rPr>
      <w:rFonts w:ascii="Garamond" w:hAnsi="Garamond" w:cs="Garamond"/>
      <w:sz w:val="24"/>
    </w:rPr>
  </w:style>
  <w:style w:type="paragraph" w:styleId="Ruller45">
    <w:name w:val="Ruller4 אלפביתי"/>
    <w:basedOn w:val="Ruller43"/>
    <w:next w:val="Ruller43"/>
    <w:qFormat/>
    <w:pPr>
      <w:numPr>
        <w:ilvl w:val="0"/>
        <w:numId w:val="16"/>
      </w:numPr>
      <w:ind w:hanging="0" w:start="0" w:end="0"/>
      <w:jc w:val="both"/>
    </w:pPr>
    <w:rPr/>
  </w:style>
  <w:style w:type="paragraph" w:styleId="ruller411">
    <w:name w:val="ruller41"/>
    <w:basedOn w:val="Normal"/>
    <w:qFormat/>
    <w:pPr>
      <w:overflowPunct w:val="false"/>
      <w:autoSpaceDE w:val="false"/>
      <w:spacing w:lineRule="auto" w:line="360"/>
      <w:ind w:hanging="0" w:start="0" w:end="0"/>
      <w:jc w:val="both"/>
    </w:pPr>
    <w:rPr>
      <w:rFonts w:ascii="Arial TUR" w:hAnsi="Arial TUR" w:cs="Times New Roman"/>
      <w:spacing w:val="10"/>
      <w:sz w:val="22"/>
      <w:szCs w:val="22"/>
    </w:rPr>
  </w:style>
  <w:style w:type="paragraph" w:styleId="ruller51">
    <w:name w:val="ruller51"/>
    <w:basedOn w:val="Normal"/>
    <w:qFormat/>
    <w:pPr>
      <w:overflowPunct w:val="false"/>
      <w:autoSpaceDE w:val="false"/>
      <w:ind w:hanging="0" w:start="1642" w:end="1282"/>
      <w:jc w:val="both"/>
    </w:pPr>
    <w:rPr>
      <w:rFonts w:ascii="Arial TUR" w:hAnsi="Arial TUR" w:cs="Times New Roman"/>
      <w:spacing w:val="10"/>
      <w:sz w:val="22"/>
      <w:szCs w:val="22"/>
    </w:rPr>
  </w:style>
  <w:style w:type="paragraph" w:styleId="CommentSubject">
    <w:name w:val="Comment Subject"/>
    <w:basedOn w:val="CommentText"/>
    <w:next w:val="CommentText"/>
    <w:qFormat/>
    <w:pPr>
      <w:overflowPunct w:val="false"/>
      <w:autoSpaceDE w:val="false"/>
      <w:ind w:hanging="0" w:start="0" w:end="0"/>
      <w:jc w:val="start"/>
      <w:textAlignment w:val="baseline"/>
    </w:pPr>
    <w:rPr>
      <w:rFonts w:ascii="Century" w:hAnsi="Century" w:cs="FrankRuehl"/>
      <w:b/>
      <w:bCs/>
      <w:spacing w:val="10"/>
      <w:sz w:val="20"/>
      <w:szCs w:val="20"/>
    </w:rPr>
  </w:style>
  <w:style w:type="paragraph" w:styleId="Revision">
    <w:name w:val="Revision"/>
    <w:qFormat/>
    <w:pPr>
      <w:widowControl/>
      <w:bidi w:val="0"/>
    </w:pPr>
    <w:rPr>
      <w:rFonts w:ascii="Century" w:hAnsi="Century" w:eastAsia="Times New Roman" w:cs="FrankRuehl"/>
      <w:color w:val="auto"/>
      <w:spacing w:val="10"/>
      <w:sz w:val="20"/>
      <w:szCs w:val="28"/>
      <w:lang w:val="en-US" w:bidi="he-IL" w:eastAsia="zh-CN"/>
    </w:rPr>
  </w:style>
  <w:style w:type="paragraph" w:styleId="ruller40">
    <w:name w:val="ruller40"/>
    <w:basedOn w:val="Normal"/>
    <w:qFormat/>
    <w:pPr>
      <w:bidi w:val="0"/>
      <w:spacing w:before="280" w:after="280"/>
      <w:jc w:val="start"/>
    </w:pPr>
    <w:rPr>
      <w:rFonts w:cs="Times New Roman"/>
    </w:rPr>
  </w:style>
  <w:style w:type="paragraph" w:styleId="ListParagraph">
    <w:name w:val="List Paragraph"/>
    <w:basedOn w:val="Normal"/>
    <w:qFormat/>
    <w:pPr>
      <w:spacing w:lineRule="auto" w:line="256" w:before="0" w:after="160"/>
      <w:ind w:hanging="0" w:start="720" w:end="0"/>
      <w:contextualSpacing/>
      <w:jc w:val="start"/>
    </w:pPr>
    <w:rPr>
      <w:rFonts w:ascii="Calibri" w:hAnsi="Calibri" w:cs="Arial"/>
      <w:sz w:val="22"/>
      <w:szCs w:val="22"/>
    </w:rPr>
  </w:style>
  <w:style w:type="paragraph" w:styleId="bodyverdict">
    <w:name w:val="bodyverdict"/>
    <w:basedOn w:val="Normal"/>
    <w:qFormat/>
    <w:pPr>
      <w:bidi w:val="0"/>
      <w:spacing w:before="280" w:after="280"/>
      <w:jc w:val="start"/>
    </w:pPr>
    <w:rPr>
      <w:rFonts w:cs="Times New Roman"/>
    </w:rPr>
  </w:style>
  <w:style w:type="paragraph" w:styleId="NormalWeb">
    <w:name w:val="Normal (Web)"/>
    <w:basedOn w:val="Normal"/>
    <w:qFormat/>
    <w:pPr>
      <w:bidi w:val="0"/>
      <w:spacing w:before="280" w:after="280"/>
      <w:jc w:val="start"/>
    </w:pPr>
    <w:rPr>
      <w:rFonts w:cs="Times New Roman"/>
    </w:rPr>
  </w:style>
  <w:style w:type="paragraph" w:styleId="HTMLPreformatted">
    <w:name w:val="HTML Preformatted"/>
    <w:basedOn w:val="Normal"/>
    <w:qFormat/>
    <w:pPr>
      <w:ind w:hanging="0" w:start="0" w:end="0"/>
      <w:jc w:val="start"/>
    </w:pPr>
    <w:rPr>
      <w:rFonts w:ascii="Consolas" w:hAnsi="Consolas" w:cs="Consolas"/>
      <w:sz w:val="20"/>
      <w:szCs w:val="20"/>
    </w:rPr>
  </w:style>
  <w:style w:type="paragraph" w:styleId="Index1">
    <w:name w:val="Index 1"/>
    <w:basedOn w:val="Normal"/>
    <w:next w:val="Normal"/>
    <w:pPr>
      <w:ind w:hanging="240" w:start="240" w:end="0"/>
      <w:jc w:val="start"/>
    </w:pPr>
    <w:rPr/>
  </w:style>
  <w:style w:type="paragraph" w:styleId="Index2">
    <w:name w:val="Index 2"/>
    <w:basedOn w:val="Normal"/>
    <w:next w:val="Normal"/>
    <w:pPr>
      <w:ind w:hanging="240" w:start="480" w:end="0"/>
      <w:jc w:val="start"/>
    </w:pPr>
    <w:rPr/>
  </w:style>
  <w:style w:type="paragraph" w:styleId="Index3">
    <w:name w:val="Index 3"/>
    <w:basedOn w:val="Normal"/>
    <w:next w:val="Normal"/>
    <w:pPr>
      <w:ind w:hanging="240" w:start="720" w:end="0"/>
      <w:jc w:val="start"/>
    </w:pPr>
    <w:rPr/>
  </w:style>
  <w:style w:type="paragraph" w:styleId="Index4">
    <w:name w:val="Index 4"/>
    <w:basedOn w:val="Normal"/>
    <w:next w:val="Normal"/>
    <w:qFormat/>
    <w:pPr>
      <w:ind w:hanging="240" w:start="960" w:end="0"/>
      <w:jc w:val="start"/>
    </w:pPr>
    <w:rPr/>
  </w:style>
  <w:style w:type="paragraph" w:styleId="Index5">
    <w:name w:val="Index 5"/>
    <w:basedOn w:val="Normal"/>
    <w:next w:val="Normal"/>
    <w:qFormat/>
    <w:pPr>
      <w:ind w:hanging="240" w:start="1200" w:end="0"/>
      <w:jc w:val="start"/>
    </w:pPr>
    <w:rPr/>
  </w:style>
  <w:style w:type="paragraph" w:styleId="Index6">
    <w:name w:val="Index 6"/>
    <w:basedOn w:val="Normal"/>
    <w:next w:val="Normal"/>
    <w:qFormat/>
    <w:pPr>
      <w:ind w:hanging="240" w:start="1440" w:end="0"/>
      <w:jc w:val="start"/>
    </w:pPr>
    <w:rPr/>
  </w:style>
  <w:style w:type="paragraph" w:styleId="Index7">
    <w:name w:val="Index 7"/>
    <w:basedOn w:val="Normal"/>
    <w:next w:val="Normal"/>
    <w:qFormat/>
    <w:pPr>
      <w:ind w:hanging="240" w:start="1680" w:end="0"/>
      <w:jc w:val="start"/>
    </w:pPr>
    <w:rPr/>
  </w:style>
  <w:style w:type="paragraph" w:styleId="Index8">
    <w:name w:val="Index 8"/>
    <w:basedOn w:val="Normal"/>
    <w:next w:val="Normal"/>
    <w:qFormat/>
    <w:pPr>
      <w:ind w:hanging="240" w:start="1920" w:end="0"/>
      <w:jc w:val="start"/>
    </w:pPr>
    <w:rPr/>
  </w:style>
  <w:style w:type="paragraph" w:styleId="Index9">
    <w:name w:val="Index 9"/>
    <w:basedOn w:val="Normal"/>
    <w:next w:val="Normal"/>
    <w:qFormat/>
    <w:pPr>
      <w:ind w:hanging="240" w:start="2160" w:end="0"/>
      <w:jc w:val="start"/>
    </w:pPr>
    <w:rPr/>
  </w:style>
  <w:style w:type="paragraph" w:styleId="TOC1">
    <w:name w:val="TOC 1"/>
    <w:basedOn w:val="Normal"/>
    <w:next w:val="Normal"/>
    <w:pPr>
      <w:spacing w:before="0" w:after="100"/>
      <w:ind w:hanging="0" w:start="0" w:end="0"/>
      <w:jc w:val="start"/>
    </w:pPr>
    <w:rPr/>
  </w:style>
  <w:style w:type="paragraph" w:styleId="TOC2">
    <w:name w:val="TOC 2"/>
    <w:basedOn w:val="Normal"/>
    <w:next w:val="Normal"/>
    <w:pPr>
      <w:spacing w:before="0" w:after="100"/>
      <w:ind w:hanging="0" w:start="240" w:end="0"/>
      <w:jc w:val="start"/>
    </w:pPr>
    <w:rPr/>
  </w:style>
  <w:style w:type="paragraph" w:styleId="TOC3">
    <w:name w:val="TOC 3"/>
    <w:basedOn w:val="Normal"/>
    <w:next w:val="Normal"/>
    <w:pPr>
      <w:spacing w:before="0" w:after="100"/>
      <w:ind w:hanging="0" w:start="480" w:end="0"/>
      <w:jc w:val="start"/>
    </w:pPr>
    <w:rPr/>
  </w:style>
  <w:style w:type="paragraph" w:styleId="TOC4">
    <w:name w:val="TOC 4"/>
    <w:basedOn w:val="Normal"/>
    <w:next w:val="Normal"/>
    <w:pPr>
      <w:spacing w:before="0" w:after="100"/>
      <w:ind w:hanging="0" w:start="720" w:end="0"/>
      <w:jc w:val="start"/>
    </w:pPr>
    <w:rPr/>
  </w:style>
  <w:style w:type="paragraph" w:styleId="TOC5">
    <w:name w:val="TOC 5"/>
    <w:basedOn w:val="Normal"/>
    <w:next w:val="Normal"/>
    <w:pPr>
      <w:spacing w:before="0" w:after="100"/>
      <w:ind w:hanging="0" w:start="960" w:end="0"/>
      <w:jc w:val="start"/>
    </w:pPr>
    <w:rPr/>
  </w:style>
  <w:style w:type="paragraph" w:styleId="TOC6">
    <w:name w:val="TOC 6"/>
    <w:basedOn w:val="Normal"/>
    <w:next w:val="Normal"/>
    <w:pPr>
      <w:spacing w:before="0" w:after="100"/>
      <w:ind w:hanging="0" w:start="1200" w:end="0"/>
      <w:jc w:val="start"/>
    </w:pPr>
    <w:rPr/>
  </w:style>
  <w:style w:type="paragraph" w:styleId="TOC7">
    <w:name w:val="TOC 7"/>
    <w:basedOn w:val="Normal"/>
    <w:next w:val="Normal"/>
    <w:pPr>
      <w:spacing w:before="0" w:after="100"/>
      <w:ind w:hanging="0" w:start="1440" w:end="0"/>
      <w:jc w:val="start"/>
    </w:pPr>
    <w:rPr/>
  </w:style>
  <w:style w:type="paragraph" w:styleId="TOC8">
    <w:name w:val="TOC 8"/>
    <w:basedOn w:val="Normal"/>
    <w:next w:val="Normal"/>
    <w:pPr>
      <w:spacing w:before="0" w:after="100"/>
      <w:ind w:hanging="0" w:start="1680" w:end="0"/>
      <w:jc w:val="start"/>
    </w:pPr>
    <w:rPr/>
  </w:style>
  <w:style w:type="paragraph" w:styleId="TOC9">
    <w:name w:val="TOC 9"/>
    <w:basedOn w:val="Normal"/>
    <w:next w:val="Normal"/>
    <w:pPr>
      <w:spacing w:before="0" w:after="100"/>
      <w:ind w:hanging="0" w:start="1920" w:end="0"/>
      <w:jc w:val="start"/>
    </w:pPr>
    <w:rPr/>
  </w:style>
  <w:style w:type="paragraph" w:styleId="Bibliography">
    <w:name w:val="Bibliography"/>
    <w:basedOn w:val="Normal"/>
    <w:next w:val="Normal"/>
    <w:qFormat/>
    <w:pPr>
      <w:ind w:hanging="0" w:start="0" w:end="0"/>
      <w:jc w:val="start"/>
    </w:pPr>
    <w:rPr/>
  </w:style>
  <w:style w:type="paragraph" w:styleId="Salutation">
    <w:name w:val="Salutation"/>
    <w:basedOn w:val="Normal"/>
    <w:next w:val="Normal"/>
    <w:qFormat/>
    <w:pPr>
      <w:ind w:hanging="0" w:start="0" w:end="0"/>
      <w:jc w:val="start"/>
    </w:pPr>
    <w:rPr/>
  </w:style>
  <w:style w:type="paragraph" w:styleId="BodyText2">
    <w:name w:val="Body Text 2"/>
    <w:basedOn w:val="Normal"/>
    <w:qFormat/>
    <w:pPr>
      <w:spacing w:lineRule="auto" w:line="480" w:before="0" w:after="120"/>
      <w:ind w:hanging="0" w:start="0" w:end="0"/>
      <w:jc w:val="start"/>
    </w:pPr>
    <w:rPr/>
  </w:style>
  <w:style w:type="paragraph" w:styleId="BodyText3">
    <w:name w:val="Body Text 3"/>
    <w:basedOn w:val="Normal"/>
    <w:qFormat/>
    <w:pPr>
      <w:spacing w:before="0" w:after="120"/>
      <w:ind w:hanging="0" w:start="0" w:end="0"/>
      <w:jc w:val="start"/>
    </w:pPr>
    <w:rPr>
      <w:sz w:val="16"/>
      <w:szCs w:val="16"/>
    </w:rPr>
  </w:style>
  <w:style w:type="paragraph" w:styleId="ListContinue">
    <w:name w:val="List Continue"/>
    <w:basedOn w:val="Normal"/>
    <w:qFormat/>
    <w:pPr>
      <w:spacing w:before="0" w:after="120"/>
      <w:ind w:hanging="0" w:start="283" w:end="0"/>
      <w:contextualSpacing/>
      <w:jc w:val="start"/>
    </w:pPr>
    <w:rPr/>
  </w:style>
  <w:style w:type="paragraph" w:styleId="ListContinue2">
    <w:name w:val="List Continue 2"/>
    <w:basedOn w:val="Normal"/>
    <w:qFormat/>
    <w:pPr>
      <w:spacing w:before="0" w:after="120"/>
      <w:ind w:hanging="0" w:start="566" w:end="0"/>
      <w:contextualSpacing/>
      <w:jc w:val="start"/>
    </w:pPr>
    <w:rPr/>
  </w:style>
  <w:style w:type="paragraph" w:styleId="ListContinue3">
    <w:name w:val="List Continue 3"/>
    <w:basedOn w:val="Normal"/>
    <w:qFormat/>
    <w:pPr>
      <w:spacing w:before="0" w:after="120"/>
      <w:ind w:hanging="0" w:start="849" w:end="0"/>
      <w:contextualSpacing/>
      <w:jc w:val="start"/>
    </w:pPr>
    <w:rPr/>
  </w:style>
  <w:style w:type="paragraph" w:styleId="ListContinue4">
    <w:name w:val="List Continue 4"/>
    <w:basedOn w:val="Normal"/>
    <w:qFormat/>
    <w:pPr>
      <w:spacing w:before="0" w:after="120"/>
      <w:ind w:hanging="0" w:start="1132" w:end="0"/>
      <w:contextualSpacing/>
      <w:jc w:val="start"/>
    </w:pPr>
    <w:rPr/>
  </w:style>
  <w:style w:type="paragraph" w:styleId="ListContinue5">
    <w:name w:val="List Continue 5"/>
    <w:basedOn w:val="Normal"/>
    <w:qFormat/>
    <w:pPr>
      <w:spacing w:before="0" w:after="120"/>
      <w:ind w:hanging="0" w:start="1415" w:end="0"/>
      <w:contextualSpacing/>
      <w:jc w:val="start"/>
    </w:pPr>
    <w:rPr/>
  </w:style>
  <w:style w:type="paragraph" w:styleId="Signature">
    <w:name w:val="Signature"/>
    <w:basedOn w:val="Normal"/>
    <w:pPr>
      <w:ind w:hanging="0" w:start="4252" w:end="0"/>
      <w:jc w:val="start"/>
    </w:pPr>
    <w:rPr/>
  </w:style>
  <w:style w:type="paragraph" w:styleId="E-mailSignature">
    <w:name w:val="E-mail Signature"/>
    <w:basedOn w:val="Normal"/>
    <w:qFormat/>
    <w:pPr>
      <w:ind w:hanging="0" w:start="0" w:end="0"/>
      <w:jc w:val="start"/>
    </w:pPr>
    <w:rPr/>
  </w:style>
  <w:style w:type="paragraph" w:styleId="BlockText">
    <w:name w:val="Block Text"/>
    <w:basedOn w:val="Normal"/>
    <w:qFormat/>
    <w:pPr>
      <w:pBdr>
        <w:top w:val="single" w:sz="2" w:space="10" w:color="4F81BD"/>
        <w:left w:val="single" w:sz="2" w:space="10" w:color="4F81BD"/>
        <w:bottom w:val="single" w:sz="2" w:space="10" w:color="4F81BD"/>
        <w:right w:val="single" w:sz="2" w:space="10" w:color="4F81BD"/>
      </w:pBdr>
      <w:ind w:hanging="0" w:start="1152" w:end="1152"/>
      <w:jc w:val="start"/>
    </w:pPr>
    <w:rPr>
      <w:rFonts w:ascii="Calibri" w:hAnsi="Calibri" w:cs="Arial"/>
      <w:i/>
      <w:iCs/>
      <w:color w:val="4F81BD"/>
    </w:rPr>
  </w:style>
  <w:style w:type="paragraph" w:styleId="EndnoteText">
    <w:name w:val="Endnote Text"/>
    <w:basedOn w:val="Normal"/>
    <w:pPr>
      <w:ind w:hanging="0" w:start="0" w:end="0"/>
      <w:jc w:val="start"/>
    </w:pPr>
    <w:rPr>
      <w:sz w:val="20"/>
      <w:szCs w:val="20"/>
    </w:rPr>
  </w:style>
  <w:style w:type="paragraph" w:styleId="FootnoteText">
    <w:name w:val="Footnote Text"/>
    <w:basedOn w:val="Normal"/>
    <w:pPr>
      <w:ind w:hanging="0" w:start="0" w:end="0"/>
      <w:jc w:val="start"/>
    </w:pPr>
    <w:rPr>
      <w:sz w:val="20"/>
      <w:szCs w:val="20"/>
    </w:rPr>
  </w:style>
  <w:style w:type="paragraph" w:styleId="MacroText">
    <w:name w:val="Macro Text"/>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1"/>
      <w:ind w:hanging="0" w:start="0" w:end="0"/>
      <w:jc w:val="start"/>
    </w:pPr>
    <w:rPr>
      <w:rFonts w:ascii="Consolas" w:hAnsi="Consolas" w:eastAsia="Times New Roman" w:cs="David"/>
      <w:color w:val="auto"/>
      <w:sz w:val="20"/>
      <w:szCs w:val="20"/>
      <w:lang w:val="en-US" w:bidi="he-IL" w:eastAsia="zh-CN"/>
    </w:rPr>
  </w:style>
  <w:style w:type="paragraph" w:styleId="PlainText">
    <w:name w:val="Plain Text"/>
    <w:basedOn w:val="Normal"/>
    <w:qFormat/>
    <w:pPr>
      <w:ind w:hanging="0" w:start="0" w:end="0"/>
      <w:jc w:val="start"/>
    </w:pPr>
    <w:rPr>
      <w:rFonts w:ascii="Consolas" w:hAnsi="Consolas" w:cs="Consolas"/>
      <w:sz w:val="21"/>
      <w:szCs w:val="21"/>
    </w:rPr>
  </w:style>
  <w:style w:type="paragraph" w:styleId="IndexHeading">
    <w:name w:val="Index Heading"/>
    <w:basedOn w:val="Normal"/>
    <w:next w:val="Index1"/>
    <w:pPr>
      <w:ind w:hanging="0" w:start="0" w:end="0"/>
      <w:jc w:val="start"/>
    </w:pPr>
    <w:rPr>
      <w:rFonts w:ascii="Cambria" w:hAnsi="Cambria" w:cs="Times New Roman"/>
      <w:b/>
      <w:bCs/>
    </w:rPr>
  </w:style>
  <w:style w:type="paragraph" w:styleId="NoteHeading">
    <w:name w:val="Note Heading"/>
    <w:basedOn w:val="Normal"/>
    <w:next w:val="Normal"/>
    <w:qFormat/>
    <w:pPr>
      <w:ind w:hanging="0" w:start="0" w:end="0"/>
      <w:jc w:val="start"/>
    </w:pPr>
    <w:rPr/>
  </w:style>
  <w:style w:type="paragraph" w:styleId="Subtitle">
    <w:name w:val="Subtitle"/>
    <w:basedOn w:val="Normal"/>
    <w:next w:val="Normal"/>
    <w:qFormat/>
    <w:pPr>
      <w:numPr>
        <w:ilvl w:val="0"/>
        <w:numId w:val="0"/>
      </w:numPr>
      <w:spacing w:before="0" w:after="160"/>
      <w:ind w:hanging="0" w:start="0" w:end="0"/>
      <w:jc w:val="start"/>
    </w:pPr>
    <w:rPr>
      <w:rFonts w:ascii="Calibri" w:hAnsi="Calibri" w:cs="Arial"/>
      <w:color w:val="5A5A5A"/>
      <w:spacing w:val="15"/>
      <w:sz w:val="22"/>
      <w:szCs w:val="22"/>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start="1134" w:end="0"/>
      <w:jc w:val="start"/>
    </w:pPr>
    <w:rPr>
      <w:rFonts w:ascii="Cambria" w:hAnsi="Cambria" w:cs="Times New Roman"/>
    </w:rPr>
  </w:style>
  <w:style w:type="paragraph" w:styleId="TOAHeading">
    <w:name w:val="TOA Heading"/>
    <w:basedOn w:val="Normal"/>
    <w:next w:val="Normal"/>
    <w:qFormat/>
    <w:pPr>
      <w:spacing w:before="120" w:after="0"/>
      <w:ind w:hanging="0" w:start="0" w:end="0"/>
      <w:jc w:val="start"/>
    </w:pPr>
    <w:rPr>
      <w:rFonts w:ascii="Cambria" w:hAnsi="Cambria" w:cs="Times New Roman"/>
      <w:b/>
      <w:bCs/>
    </w:rPr>
  </w:style>
  <w:style w:type="paragraph" w:styleId="TOCHeading">
    <w:name w:val="TOC Heading"/>
    <w:basedOn w:val="Heading1"/>
    <w:next w:val="Normal"/>
    <w:qFormat/>
    <w:pPr>
      <w:numPr>
        <w:ilvl w:val="0"/>
        <w:numId w:val="0"/>
      </w:numPr>
      <w:ind w:hanging="0" w:start="0" w:end="0"/>
      <w:jc w:val="start"/>
      <w:outlineLvl w:val="9"/>
    </w:pPr>
    <w:rPr/>
  </w:style>
  <w:style w:type="paragraph" w:styleId="BodyTextIndent">
    <w:name w:val="Body Text Indent"/>
    <w:basedOn w:val="Normal"/>
    <w:pPr>
      <w:spacing w:before="0" w:after="120"/>
      <w:ind w:hanging="0" w:start="283" w:end="0"/>
      <w:jc w:val="start"/>
    </w:pPr>
    <w:rPr/>
  </w:style>
  <w:style w:type="paragraph" w:styleId="BodyTextIndent2">
    <w:name w:val="Body Text Indent 2"/>
    <w:basedOn w:val="Normal"/>
    <w:qFormat/>
    <w:pPr>
      <w:spacing w:lineRule="auto" w:line="480" w:before="0" w:after="120"/>
      <w:ind w:hanging="0" w:start="283" w:end="0"/>
      <w:jc w:val="start"/>
    </w:pPr>
    <w:rPr/>
  </w:style>
  <w:style w:type="paragraph" w:styleId="BodyTextIndent3">
    <w:name w:val="Body Text Indent 3"/>
    <w:basedOn w:val="Normal"/>
    <w:qFormat/>
    <w:pPr>
      <w:spacing w:before="0" w:after="120"/>
      <w:ind w:hanging="0" w:start="283" w:end="0"/>
      <w:jc w:val="start"/>
    </w:pPr>
    <w:rPr>
      <w:sz w:val="16"/>
      <w:szCs w:val="16"/>
    </w:rPr>
  </w:style>
  <w:style w:type="paragraph" w:styleId="NormalIndent">
    <w:name w:val="Normal Indent"/>
    <w:basedOn w:val="Normal"/>
    <w:qFormat/>
    <w:pPr>
      <w:ind w:hanging="0" w:start="720" w:end="0"/>
      <w:jc w:val="start"/>
    </w:pPr>
    <w:rPr/>
  </w:style>
  <w:style w:type="paragraph" w:styleId="BodyTextFirstIndent">
    <w:name w:val="Body Text First Indent"/>
    <w:basedOn w:val="BodyText"/>
    <w:qFormat/>
    <w:pPr>
      <w:spacing w:before="0" w:after="0"/>
      <w:ind w:firstLine="360" w:start="0" w:end="0"/>
      <w:jc w:val="start"/>
    </w:pPr>
    <w:rPr/>
  </w:style>
  <w:style w:type="paragraph" w:styleId="BodyTextFirstIndent2">
    <w:name w:val="Body Text First Indent 2"/>
    <w:basedOn w:val="BodyTextIndent"/>
    <w:qFormat/>
    <w:pPr>
      <w:spacing w:before="0" w:after="0"/>
      <w:ind w:firstLine="360" w:start="360" w:end="0"/>
      <w:jc w:val="start"/>
    </w:pPr>
    <w:rPr/>
  </w:style>
  <w:style w:type="paragraph" w:styleId="HTMLAddress">
    <w:name w:val="HTML Address"/>
    <w:basedOn w:val="Normal"/>
    <w:qFormat/>
    <w:pPr>
      <w:ind w:hanging="0" w:start="0" w:end="0"/>
      <w:jc w:val="start"/>
    </w:pPr>
    <w:rPr>
      <w:i/>
      <w:iCs/>
    </w:rPr>
  </w:style>
  <w:style w:type="paragraph" w:styleId="EnvelopeAddress">
    <w:name w:val="Envelope Address"/>
    <w:basedOn w:val="Normal"/>
    <w:pPr>
      <w:ind w:hanging="0" w:start="2880" w:end="0"/>
      <w:jc w:val="start"/>
    </w:pPr>
    <w:rPr>
      <w:rFonts w:ascii="Cambria" w:hAnsi="Cambria" w:cs="Times New Roman"/>
    </w:rPr>
  </w:style>
  <w:style w:type="paragraph" w:styleId="EnvelopeReturn">
    <w:name w:val="Envelope Return"/>
    <w:basedOn w:val="Normal"/>
    <w:pPr>
      <w:ind w:hanging="0" w:start="0" w:end="0"/>
      <w:jc w:val="start"/>
    </w:pPr>
    <w:rPr>
      <w:rFonts w:ascii="Cambria" w:hAnsi="Cambria" w:cs="Times New Roman"/>
      <w:sz w:val="20"/>
      <w:szCs w:val="20"/>
    </w:rPr>
  </w:style>
  <w:style w:type="paragraph" w:styleId="NoSpacing">
    <w:name w:val="No Spacing"/>
    <w:qFormat/>
    <w:pPr>
      <w:widowControl/>
      <w:bidi w:val="1"/>
      <w:ind w:hanging="0" w:start="0" w:end="0"/>
      <w:jc w:val="start"/>
    </w:pPr>
    <w:rPr>
      <w:rFonts w:ascii="Times New Roman" w:hAnsi="Times New Roman" w:eastAsia="Times New Roman" w:cs="David"/>
      <w:color w:val="auto"/>
      <w:sz w:val="24"/>
      <w:szCs w:val="24"/>
      <w:lang w:val="en-US" w:bidi="he-IL" w:eastAsia="zh-CN"/>
    </w:rPr>
  </w:style>
  <w:style w:type="paragraph" w:styleId="DocumentMap">
    <w:name w:val="Document Map"/>
    <w:basedOn w:val="Normal"/>
    <w:qFormat/>
    <w:pPr>
      <w:ind w:hanging="0" w:start="0" w:end="0"/>
      <w:jc w:val="start"/>
    </w:pPr>
    <w:rPr>
      <w:rFonts w:ascii="Tahoma" w:hAnsi="Tahoma" w:cs="Tahoma"/>
      <w:sz w:val="16"/>
      <w:szCs w:val="16"/>
    </w:rPr>
  </w:style>
  <w:style w:type="paragraph" w:styleId="Closing">
    <w:name w:val="Closing"/>
    <w:basedOn w:val="Normal"/>
    <w:qFormat/>
    <w:pPr>
      <w:ind w:hanging="0" w:start="4252" w:end="0"/>
      <w:jc w:val="start"/>
    </w:pPr>
    <w:rPr/>
  </w:style>
  <w:style w:type="paragraph" w:styleId="Quote">
    <w:name w:val="Quote"/>
    <w:basedOn w:val="Normal"/>
    <w:next w:val="Normal"/>
    <w:qFormat/>
    <w:pPr>
      <w:spacing w:before="200" w:after="160"/>
      <w:ind w:hanging="0" w:start="864" w:end="864"/>
      <w:jc w:val="center"/>
    </w:pPr>
    <w:rPr>
      <w:i/>
      <w:iCs/>
      <w:color w:val="404040"/>
    </w:rPr>
  </w:style>
  <w:style w:type="paragraph" w:styleId="IntenseQuote">
    <w:name w:val="Intense Quote"/>
    <w:basedOn w:val="Normal"/>
    <w:next w:val="Normal"/>
    <w:qFormat/>
    <w:pPr>
      <w:pBdr>
        <w:top w:val="single" w:sz="4" w:space="10" w:color="4F81BD"/>
        <w:bottom w:val="single" w:sz="4" w:space="10" w:color="4F81BD"/>
      </w:pBdr>
      <w:spacing w:before="360" w:after="360"/>
      <w:ind w:hanging="0" w:start="864" w:end="864"/>
      <w:jc w:val="center"/>
    </w:pPr>
    <w:rPr>
      <w:i/>
      <w:iCs/>
      <w:color w:val="4F81BD"/>
    </w:rPr>
  </w:style>
  <w:style w:type="paragraph" w:styleId="ListBullet2">
    <w:name w:val="List Bullet 2"/>
    <w:basedOn w:val="Normal"/>
    <w:pPr>
      <w:spacing w:before="0" w:after="0"/>
      <w:ind w:hanging="283" w:start="566" w:end="0"/>
      <w:contextualSpacing/>
      <w:jc w:val="start"/>
    </w:pPr>
    <w:rPr/>
  </w:style>
  <w:style w:type="paragraph" w:styleId="ListBullet3">
    <w:name w:val="List Bullet 3"/>
    <w:basedOn w:val="Normal"/>
    <w:pPr>
      <w:spacing w:before="0" w:after="0"/>
      <w:ind w:hanging="283" w:start="849" w:end="0"/>
      <w:contextualSpacing/>
      <w:jc w:val="start"/>
    </w:pPr>
    <w:rPr/>
  </w:style>
  <w:style w:type="paragraph" w:styleId="ListBullet4">
    <w:name w:val="List Bullet 4"/>
    <w:basedOn w:val="Normal"/>
    <w:pPr>
      <w:spacing w:before="0" w:after="0"/>
      <w:ind w:hanging="283" w:start="1132" w:end="0"/>
      <w:contextualSpacing/>
      <w:jc w:val="start"/>
    </w:pPr>
    <w:rPr/>
  </w:style>
  <w:style w:type="paragraph" w:styleId="ListBullet5">
    <w:name w:val="List Bullet 5"/>
    <w:basedOn w:val="Normal"/>
    <w:pPr>
      <w:spacing w:before="0" w:after="0"/>
      <w:ind w:hanging="283" w:start="1415" w:end="0"/>
      <w:contextualSpacing/>
      <w:jc w:val="start"/>
    </w:pPr>
    <w:rPr/>
  </w:style>
  <w:style w:type="paragraph" w:styleId="ListNumber">
    <w:name w:val="List Number"/>
    <w:basedOn w:val="Normal"/>
    <w:qFormat/>
    <w:pPr>
      <w:numPr>
        <w:ilvl w:val="0"/>
        <w:numId w:val="10"/>
      </w:numPr>
      <w:spacing w:before="0" w:after="0"/>
      <w:ind w:hanging="0" w:start="360" w:end="0"/>
      <w:contextualSpacing/>
      <w:jc w:val="start"/>
    </w:pPr>
    <w:rPr/>
  </w:style>
  <w:style w:type="paragraph" w:styleId="ListNumber2">
    <w:name w:val="List Number 2"/>
    <w:basedOn w:val="Normal"/>
    <w:qFormat/>
    <w:pPr>
      <w:numPr>
        <w:ilvl w:val="0"/>
        <w:numId w:val="5"/>
      </w:numPr>
      <w:spacing w:before="0" w:after="0"/>
      <w:ind w:hanging="0" w:start="643" w:end="0"/>
      <w:contextualSpacing/>
      <w:jc w:val="start"/>
    </w:pPr>
    <w:rPr/>
  </w:style>
  <w:style w:type="paragraph" w:styleId="ListNumber3">
    <w:name w:val="List Number 3"/>
    <w:basedOn w:val="Normal"/>
    <w:qFormat/>
    <w:pPr>
      <w:numPr>
        <w:ilvl w:val="0"/>
        <w:numId w:val="4"/>
      </w:numPr>
      <w:spacing w:before="0" w:after="0"/>
      <w:ind w:hanging="0" w:start="926" w:end="0"/>
      <w:contextualSpacing/>
      <w:jc w:val="start"/>
    </w:pPr>
    <w:rPr/>
  </w:style>
  <w:style w:type="paragraph" w:styleId="ListNumber4">
    <w:name w:val="List Number 4"/>
    <w:basedOn w:val="Normal"/>
    <w:qFormat/>
    <w:pPr>
      <w:numPr>
        <w:ilvl w:val="0"/>
        <w:numId w:val="3"/>
      </w:numPr>
      <w:spacing w:before="0" w:after="0"/>
      <w:ind w:hanging="0" w:start="1209" w:end="0"/>
      <w:contextualSpacing/>
      <w:jc w:val="start"/>
    </w:pPr>
    <w:rPr/>
  </w:style>
  <w:style w:type="paragraph" w:styleId="ListNumber5">
    <w:name w:val="List Number 5"/>
    <w:basedOn w:val="Normal"/>
    <w:qFormat/>
    <w:pPr>
      <w:numPr>
        <w:ilvl w:val="0"/>
        <w:numId w:val="2"/>
      </w:numPr>
      <w:spacing w:before="0" w:after="0"/>
      <w:ind w:hanging="0" w:start="1492" w:end="0"/>
      <w:contextualSpacing/>
      <w:jc w:val="start"/>
    </w:pPr>
    <w:rPr/>
  </w:style>
  <w:style w:type="paragraph" w:styleId="ListBullet">
    <w:name w:val="List Bullet"/>
    <w:basedOn w:val="Normal"/>
    <w:qFormat/>
    <w:pPr>
      <w:numPr>
        <w:ilvl w:val="0"/>
        <w:numId w:val="11"/>
      </w:numPr>
      <w:spacing w:before="0" w:after="0"/>
      <w:ind w:hanging="0" w:start="360" w:end="0"/>
      <w:contextualSpacing/>
      <w:jc w:val="start"/>
    </w:pPr>
    <w:rPr/>
  </w:style>
  <w:style w:type="paragraph" w:styleId="ListBullet21">
    <w:name w:val="List Bullet 21"/>
    <w:basedOn w:val="Normal"/>
    <w:qFormat/>
    <w:pPr>
      <w:numPr>
        <w:ilvl w:val="0"/>
        <w:numId w:val="9"/>
      </w:numPr>
      <w:spacing w:before="0" w:after="0"/>
      <w:ind w:hanging="0" w:start="643" w:end="0"/>
      <w:contextualSpacing/>
      <w:jc w:val="start"/>
    </w:pPr>
    <w:rPr/>
  </w:style>
  <w:style w:type="paragraph" w:styleId="ListBullet31">
    <w:name w:val="List Bullet 31"/>
    <w:basedOn w:val="Normal"/>
    <w:qFormat/>
    <w:pPr>
      <w:numPr>
        <w:ilvl w:val="0"/>
        <w:numId w:val="8"/>
      </w:numPr>
      <w:spacing w:before="0" w:after="0"/>
      <w:ind w:hanging="0" w:start="926" w:end="0"/>
      <w:contextualSpacing/>
      <w:jc w:val="start"/>
    </w:pPr>
    <w:rPr/>
  </w:style>
  <w:style w:type="paragraph" w:styleId="ListBullet41">
    <w:name w:val="List Bullet 41"/>
    <w:basedOn w:val="Normal"/>
    <w:qFormat/>
    <w:pPr>
      <w:numPr>
        <w:ilvl w:val="0"/>
        <w:numId w:val="7"/>
      </w:numPr>
      <w:spacing w:before="0" w:after="0"/>
      <w:ind w:hanging="0" w:start="1209" w:end="0"/>
      <w:contextualSpacing/>
      <w:jc w:val="start"/>
    </w:pPr>
    <w:rPr/>
  </w:style>
  <w:style w:type="paragraph" w:styleId="ListBullet51">
    <w:name w:val="List Bullet 51"/>
    <w:basedOn w:val="Normal"/>
    <w:qFormat/>
    <w:pPr>
      <w:numPr>
        <w:ilvl w:val="0"/>
        <w:numId w:val="6"/>
      </w:numPr>
      <w:spacing w:before="0" w:after="0"/>
      <w:ind w:hanging="0" w:start="1492" w:end="0"/>
      <w:contextualSpacing/>
      <w:jc w:val="start"/>
    </w:pPr>
    <w:rPr/>
  </w:style>
  <w:style w:type="paragraph" w:styleId="TableofFigures">
    <w:name w:val="Table of Figures"/>
    <w:basedOn w:val="Normal"/>
    <w:next w:val="Normal"/>
    <w:qFormat/>
    <w:pPr>
      <w:ind w:hanging="0" w:start="0" w:end="0"/>
      <w:jc w:val="start"/>
    </w:pPr>
    <w:rPr/>
  </w:style>
  <w:style w:type="paragraph" w:styleId="TableofAuthorities">
    <w:name w:val="Table of Authorities"/>
    <w:basedOn w:val="Normal"/>
    <w:next w:val="Normal"/>
    <w:qFormat/>
    <w:pPr>
      <w:ind w:hanging="240" w:start="240" w:end="0"/>
      <w:jc w:val="start"/>
    </w:pPr>
    <w:rPr/>
  </w:style>
  <w:style w:type="paragraph" w:styleId="Date">
    <w:name w:val="Date"/>
    <w:basedOn w:val="Normal"/>
    <w:next w:val="Normal"/>
    <w:qFormat/>
    <w:pPr>
      <w:ind w:hanging="0" w:start="0" w:end="0"/>
      <w:jc w:val="start"/>
    </w:pPr>
    <w:rPr/>
  </w:style>
  <w:style w:type="paragraph" w:styleId="listparagraph1">
    <w:name w:val="listparagraph"/>
    <w:basedOn w:val="Normal"/>
    <w:qFormat/>
    <w:pPr>
      <w:bidi w:val="0"/>
      <w:spacing w:before="280" w:after="280"/>
      <w:jc w:val="start"/>
    </w:pPr>
    <w:rPr>
      <w:rFonts w:cs="Times New Roman"/>
    </w:rPr>
  </w:style>
  <w:style w:type="paragraph" w:styleId="Style7">
    <w:name w:val="סעיף ראשי"/>
    <w:basedOn w:val="Normal"/>
    <w:qFormat/>
    <w:pPr>
      <w:numPr>
        <w:ilvl w:val="0"/>
        <w:numId w:val="13"/>
      </w:numPr>
      <w:spacing w:lineRule="auto" w:line="360" w:before="0" w:after="120"/>
      <w:ind w:hanging="0" w:start="360" w:end="-142"/>
      <w:contextualSpacing/>
      <w:jc w:val="both"/>
    </w:pPr>
    <w:rPr>
      <w:rFonts w:ascii="Calibri" w:hAnsi="Calibri" w:cs="Calibri"/>
    </w:rPr>
  </w:style>
  <w:style w:type="paragraph" w:styleId="Style8">
    <w:name w:val="סעיף משנה"/>
    <w:basedOn w:val="ListParagraph"/>
    <w:qFormat/>
    <w:pPr>
      <w:numPr>
        <w:ilvl w:val="0"/>
        <w:numId w:val="13"/>
      </w:numPr>
      <w:spacing w:lineRule="auto" w:line="360" w:before="0" w:after="120"/>
      <w:ind w:hanging="0" w:start="792" w:end="-142"/>
      <w:contextualSpacing/>
      <w:jc w:val="both"/>
    </w:pPr>
    <w:rPr>
      <w:rFonts w:cs="David"/>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evo.co.il/law/91073" TargetMode="External"/><Relationship Id="rId3" Type="http://schemas.openxmlformats.org/officeDocument/2006/relationships/hyperlink" Target="http://www.nevo.co.il/law/71780" TargetMode="External"/><Relationship Id="rId4" Type="http://schemas.openxmlformats.org/officeDocument/2006/relationships/hyperlink" Target="http://www.nevo.co.il/law/72866" TargetMode="External"/><Relationship Id="rId5" Type="http://schemas.openxmlformats.org/officeDocument/2006/relationships/hyperlink" Target="http://www.nevo.co.il/law/91073" TargetMode="External"/><Relationship Id="rId6" Type="http://schemas.openxmlformats.org/officeDocument/2006/relationships/hyperlink" Target="http://www.nevo.co.il/law/91073"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www.nevo.co.il/law/91073/3T19.b.9" TargetMode="External"/><Relationship Id="rId10" Type="http://schemas.openxmlformats.org/officeDocument/2006/relationships/hyperlink" Target="http://www.nevo.co.il/law/91073" TargetMode="External"/><Relationship Id="rId11" Type="http://schemas.openxmlformats.org/officeDocument/2006/relationships/hyperlink" Target="http://www.nevo.co.il/case/33072167" TargetMode="External"/><Relationship Id="rId12" Type="http://schemas.openxmlformats.org/officeDocument/2006/relationships/hyperlink" Target="http://www.nevo.co.il/case/34985014" TargetMode="External"/><Relationship Id="rId13" Type="http://schemas.openxmlformats.org/officeDocument/2006/relationships/hyperlink" Target="http://www.nevo.co.il/case/28199771" TargetMode="External"/><Relationship Id="rId14" Type="http://schemas.openxmlformats.org/officeDocument/2006/relationships/hyperlink" Target="http://www.nevo.co.il/case/36732246" TargetMode="External"/><Relationship Id="rId15" Type="http://schemas.openxmlformats.org/officeDocument/2006/relationships/hyperlink" Target="http://www.nevo.co.il/law/71780" TargetMode="External"/><Relationship Id="rId16" Type="http://schemas.openxmlformats.org/officeDocument/2006/relationships/hyperlink" Target="http://www.nevo.co.il/case/36795299" TargetMode="External"/><Relationship Id="rId17" Type="http://schemas.openxmlformats.org/officeDocument/2006/relationships/hyperlink" Target="http://www.nevo.co.il/case/36867807" TargetMode="External"/><Relationship Id="rId18" Type="http://schemas.openxmlformats.org/officeDocument/2006/relationships/hyperlink" Target="http://www.nevo.co.il/case/36022387" TargetMode="External"/><Relationship Id="rId19" Type="http://schemas.openxmlformats.org/officeDocument/2006/relationships/hyperlink" Target="http://www.nevo.co.il/case/34985014" TargetMode="External"/><Relationship Id="rId20" Type="http://schemas.openxmlformats.org/officeDocument/2006/relationships/hyperlink" Target="http://www.nevo.co.il/law/72866/049k" TargetMode="External"/><Relationship Id="rId21" Type="http://schemas.openxmlformats.org/officeDocument/2006/relationships/hyperlink" Target="http://www.nevo.co.il/law/72866" TargetMode="External"/><Relationship Id="rId22" Type="http://schemas.openxmlformats.org/officeDocument/2006/relationships/hyperlink" Target="http://www.nevo.co.il/law/72866/049k" TargetMode="External"/><Relationship Id="rId23" Type="http://schemas.openxmlformats.org/officeDocument/2006/relationships/hyperlink" Target="http://www.nevo.co.il/law/72866/019.3a" TargetMode="External"/><Relationship Id="rId24" Type="http://schemas.openxmlformats.org/officeDocument/2006/relationships/hyperlink" Target="http://www.nevo.co.il/law/72866" TargetMode="External"/><Relationship Id="rId25" Type="http://schemas.openxmlformats.org/officeDocument/2006/relationships/hyperlink" Target="http://www.nevo.co.il/law/72866/049k" TargetMode="External"/><Relationship Id="rId26" Type="http://schemas.openxmlformats.org/officeDocument/2006/relationships/hyperlink" Target="http://www.nevo.co.il/case/21915121" TargetMode="External"/><Relationship Id="rId27" Type="http://schemas.openxmlformats.org/officeDocument/2006/relationships/hyperlink" Target="http://www.nevo.co.il/case/7012229" TargetMode="External"/><Relationship Id="rId28" Type="http://schemas.openxmlformats.org/officeDocument/2006/relationships/hyperlink" Target="http://www.nevo.co.il/law/91073/3T19.b.9" TargetMode="External"/><Relationship Id="rId29" Type="http://schemas.openxmlformats.org/officeDocument/2006/relationships/hyperlink" Target="http://www.nevo.co.il/law/91073" TargetMode="External"/><Relationship Id="rId30" Type="http://schemas.openxmlformats.org/officeDocument/2006/relationships/hyperlink" Target="http://www.nevo.co.il/advertisements/nevo-100.doc" TargetMode="Externa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_rels/footer2.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2026-10-06T07:25:00Z</dcterms:created>
  <dc:creator> </dc:creator>
  <dc:description/>
  <cp:keywords/>
  <dc:language>en-US</dc:language>
  <cp:lastModifiedBy>h3</cp:lastModifiedBy>
  <cp:lastPrinted>2026-09-14T21:08:00Z</cp:lastPrinted>
  <dcterms:modified xsi:type="dcterms:W3CDTF">2026-10-06T07:25:00Z</dcterms:modified>
  <cp:revision>2</cp:revision>
  <dc:subject> </dc:subject>
  <dc:title>nevo.co.il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י.ח. דמרי בניה ופיתוח בע״מ ואח׳;הוועדה המקומית לתכנון ובנייה נתניה</vt:lpwstr>
  </property>
  <property fmtid="{D5CDD505-2E9C-101B-9397-08002B2CF9AE}" pid="3" name="APPELLANT1">
    <vt:lpwstr> </vt:lpwstr>
  </property>
  <property fmtid="{D5CDD505-2E9C-101B-9397-08002B2CF9AE}" pid="4" name="APPELLANT2">
    <vt:lpwstr> </vt:lpwstr>
  </property>
  <property fmtid="{D5CDD505-2E9C-101B-9397-08002B2CF9AE}" pid="5" name="APPELLEE">
    <vt:lpwstr>הוועדה המקומית לתכנון ובנייה נתניה;י.ח. דמרי בניה ופיתוח בע״מ ואח׳</vt:lpwstr>
  </property>
  <property fmtid="{D5CDD505-2E9C-101B-9397-08002B2CF9AE}" pid="6" name="APPELLEE1">
    <vt:lpwstr> </vt:lpwstr>
  </property>
  <property fmtid="{D5CDD505-2E9C-101B-9397-08002B2CF9AE}" pid="7" name="APPELLEE2">
    <vt:lpwstr> </vt:lpwstr>
  </property>
  <property fmtid="{D5CDD505-2E9C-101B-9397-08002B2CF9AE}" pid="8" name="CASENOTES1">
    <vt:lpwstr>ProcID=147&amp;PartA=8069-74&amp;PartC=25</vt:lpwstr>
  </property>
  <property fmtid="{D5CDD505-2E9C-101B-9397-08002B2CF9AE}" pid="9" name="CASENOTES2">
    <vt:lpwstr>ProcID=147&amp;PartA=8059-64&amp;PartC=25</vt:lpwstr>
  </property>
  <property fmtid="{D5CDD505-2E9C-101B-9397-08002B2CF9AE}" pid="10" name="CASENOTES3">
    <vt:lpwstr>ProcID=147&amp;PartA=8069&amp;PartC=74</vt:lpwstr>
  </property>
  <property fmtid="{D5CDD505-2E9C-101B-9397-08002B2CF9AE}" pid="11" name="CASENOTES4">
    <vt:lpwstr>ProcID=147&amp;PartA=8059&amp;PartC=64</vt:lpwstr>
  </property>
  <property fmtid="{D5CDD505-2E9C-101B-9397-08002B2CF9AE}" pid="12" name="CASENOTES5">
    <vt:lpwstr>ProcID=213&amp;PartA=30&amp;PartC=25</vt:lpwstr>
  </property>
  <property fmtid="{D5CDD505-2E9C-101B-9397-08002B2CF9AE}" pid="13" name="CASENOTES6">
    <vt:lpwstr>ProcID=213&amp;PartA=408&amp;PartC=05</vt:lpwstr>
  </property>
  <property fmtid="{D5CDD505-2E9C-101B-9397-08002B2CF9AE}" pid="14" name="CASESLISTTMP1">
    <vt:lpwstr>33072167;34985014:2;28199771;36732246;36795299;36867807;36022387;21915121;7012229</vt:lpwstr>
  </property>
  <property fmtid="{D5CDD505-2E9C-101B-9397-08002B2CF9AE}" pid="15" name="CITY">
    <vt:lpwstr>מרכז</vt:lpwstr>
  </property>
  <property fmtid="{D5CDD505-2E9C-101B-9397-08002B2CF9AE}" pid="16" name="DELEMATA">
    <vt:lpwstr> </vt:lpwstr>
  </property>
  <property fmtid="{D5CDD505-2E9C-101B-9397-08002B2CF9AE}" pid="17" name="GUSHSUB1">
    <vt:lpwstr>7944</vt:lpwstr>
  </property>
  <property fmtid="{D5CDD505-2E9C-101B-9397-08002B2CF9AE}" pid="18" name="GUSHSUB2">
    <vt:lpwstr>7928</vt:lpwstr>
  </property>
  <property fmtid="{D5CDD505-2E9C-101B-9397-08002B2CF9AE}" pid="19" name="GUSHSUB3">
    <vt:lpwstr>7960</vt:lpwstr>
  </property>
  <property fmtid="{D5CDD505-2E9C-101B-9397-08002B2CF9AE}" pid="20" name="HELKASUB1">
    <vt:lpwstr>30;25;26;27;28;29</vt:lpwstr>
  </property>
  <property fmtid="{D5CDD505-2E9C-101B-9397-08002B2CF9AE}" pid="21" name="HELKASUB2">
    <vt:lpwstr>22</vt:lpwstr>
  </property>
  <property fmtid="{D5CDD505-2E9C-101B-9397-08002B2CF9AE}" pid="22" name="HELKASUB3">
    <vt:lpwstr>22</vt:lpwstr>
  </property>
  <property fmtid="{D5CDD505-2E9C-101B-9397-08002B2CF9AE}" pid="23" name="ISABSTRACT">
    <vt:lpwstr>Y</vt:lpwstr>
  </property>
  <property fmtid="{D5CDD505-2E9C-101B-9397-08002B2CF9AE}" pid="24" name="JUDGE">
    <vt:lpwstr>דביר סגלוביץ׳</vt:lpwstr>
  </property>
  <property fmtid="{D5CDD505-2E9C-101B-9397-08002B2CF9AE}" pid="25" name="LAWLISTTMP1">
    <vt:lpwstr>91073/3T19.b.9:2</vt:lpwstr>
  </property>
  <property fmtid="{D5CDD505-2E9C-101B-9397-08002B2CF9AE}" pid="26" name="LAWLISTTMP2">
    <vt:lpwstr>71780</vt:lpwstr>
  </property>
  <property fmtid="{D5CDD505-2E9C-101B-9397-08002B2CF9AE}" pid="27" name="LAWLISTTMP3">
    <vt:lpwstr>72866/019.3a;049k:3</vt:lpwstr>
  </property>
  <property fmtid="{D5CDD505-2E9C-101B-9397-08002B2CF9AE}" pid="28" name="LAWYER">
    <vt:lpwstr>בנימין זלמנוביץ;רינת טוב כהן</vt:lpwstr>
  </property>
  <property fmtid="{D5CDD505-2E9C-101B-9397-08002B2CF9AE}" pid="29" name="LINKK1">
    <vt:lpwstr> </vt:lpwstr>
  </property>
  <property fmtid="{D5CDD505-2E9C-101B-9397-08002B2CF9AE}" pid="30" name="LINKK2">
    <vt:lpwstr> </vt:lpwstr>
  </property>
  <property fmtid="{D5CDD505-2E9C-101B-9397-08002B2CF9AE}" pid="31" name="LINKK3">
    <vt:lpwstr> </vt:lpwstr>
  </property>
  <property fmtid="{D5CDD505-2E9C-101B-9397-08002B2CF9AE}" pid="32" name="LINKK4">
    <vt:lpwstr> </vt:lpwstr>
  </property>
  <property fmtid="{D5CDD505-2E9C-101B-9397-08002B2CF9AE}" pid="33" name="LINKK5">
    <vt:lpwstr> </vt:lpwstr>
  </property>
  <property fmtid="{D5CDD505-2E9C-101B-9397-08002B2CF9AE}" pid="34" name="MINIRATZ1">
    <vt:lpwstr>לפנינו עררים על שומות מכריעות שעניינן היטל השבחה החל בקשר למקרקעין הידועים כחלקות 30-25 בגוש 7944, מתחם פינוי ובינוי "נורדאו מקס" בעיר נתניה, עקב אישורה של תוכנית 408-0517458 התחדשות עירונית, נתניה, נת/מק/18/401/ב (2022) (להלן: "המתחם" או "התוכנית").</vt:lpwstr>
  </property>
  <property fmtid="{D5CDD505-2E9C-101B-9397-08002B2CF9AE}" pid="35" name="MINIRATZ10">
    <vt:lpwstr> </vt:lpwstr>
  </property>
  <property fmtid="{D5CDD505-2E9C-101B-9397-08002B2CF9AE}" pid="36" name="MINIRATZ11">
    <vt:lpwstr> </vt:lpwstr>
  </property>
  <property fmtid="{D5CDD505-2E9C-101B-9397-08002B2CF9AE}" pid="37" name="MINIRATZ12">
    <vt:lpwstr> </vt:lpwstr>
  </property>
  <property fmtid="{D5CDD505-2E9C-101B-9397-08002B2CF9AE}" pid="38" name="MINIRATZ13">
    <vt:lpwstr> </vt:lpwstr>
  </property>
  <property fmtid="{D5CDD505-2E9C-101B-9397-08002B2CF9AE}" pid="39" name="MINIRATZ14">
    <vt:lpwstr> </vt:lpwstr>
  </property>
  <property fmtid="{D5CDD505-2E9C-101B-9397-08002B2CF9AE}" pid="40" name="MINIRATZ15">
    <vt:lpwstr> </vt:lpwstr>
  </property>
  <property fmtid="{D5CDD505-2E9C-101B-9397-08002B2CF9AE}" pid="41" name="MINIRATZ16">
    <vt:lpwstr> </vt:lpwstr>
  </property>
  <property fmtid="{D5CDD505-2E9C-101B-9397-08002B2CF9AE}" pid="42" name="MINIRATZ17">
    <vt:lpwstr> </vt:lpwstr>
  </property>
  <property fmtid="{D5CDD505-2E9C-101B-9397-08002B2CF9AE}" pid="43" name="MINIRATZ18">
    <vt:lpwstr> </vt:lpwstr>
  </property>
  <property fmtid="{D5CDD505-2E9C-101B-9397-08002B2CF9AE}" pid="44" name="MINIRATZ19">
    <vt:lpwstr> </vt:lpwstr>
  </property>
  <property fmtid="{D5CDD505-2E9C-101B-9397-08002B2CF9AE}" pid="45" name="MINIRATZ2">
    <vt:lpwstr> </vt:lpwstr>
  </property>
  <property fmtid="{D5CDD505-2E9C-101B-9397-08002B2CF9AE}" pid="46" name="MINIRATZ20">
    <vt:lpwstr> </vt:lpwstr>
  </property>
  <property fmtid="{D5CDD505-2E9C-101B-9397-08002B2CF9AE}" pid="47" name="MINIRATZ3">
    <vt:lpwstr> </vt:lpwstr>
  </property>
  <property fmtid="{D5CDD505-2E9C-101B-9397-08002B2CF9AE}" pid="48" name="MINIRATZ4">
    <vt:lpwstr> </vt:lpwstr>
  </property>
  <property fmtid="{D5CDD505-2E9C-101B-9397-08002B2CF9AE}" pid="49" name="MINIRATZ5">
    <vt:lpwstr> </vt:lpwstr>
  </property>
  <property fmtid="{D5CDD505-2E9C-101B-9397-08002B2CF9AE}" pid="50" name="MINIRATZ6">
    <vt:lpwstr> </vt:lpwstr>
  </property>
  <property fmtid="{D5CDD505-2E9C-101B-9397-08002B2CF9AE}" pid="51" name="MINIRATZ7">
    <vt:lpwstr> </vt:lpwstr>
  </property>
  <property fmtid="{D5CDD505-2E9C-101B-9397-08002B2CF9AE}" pid="52" name="MINIRATZ8">
    <vt:lpwstr> </vt:lpwstr>
  </property>
  <property fmtid="{D5CDD505-2E9C-101B-9397-08002B2CF9AE}" pid="53" name="MINIRATZ9">
    <vt:lpwstr> </vt:lpwstr>
  </property>
  <property fmtid="{D5CDD505-2E9C-101B-9397-08002B2CF9AE}" pid="54" name="NEWPARTA">
    <vt:lpwstr>8059;8060;8061;8062;8063;8064;8069;8070;8071;8072;8073;8074</vt:lpwstr>
  </property>
  <property fmtid="{D5CDD505-2E9C-101B-9397-08002B2CF9AE}" pid="55" name="NEWPARTB">
    <vt:lpwstr>09;09;09;09;09;09;09;09;09;09;09;09</vt:lpwstr>
  </property>
  <property fmtid="{D5CDD505-2E9C-101B-9397-08002B2CF9AE}" pid="56" name="NEWPARTC">
    <vt:lpwstr>25;25;25;25;25;25;25;25;25;25;25;25</vt:lpwstr>
  </property>
  <property fmtid="{D5CDD505-2E9C-101B-9397-08002B2CF9AE}" pid="57" name="NEWPROC">
    <vt:lpwstr>ערר;ערר;ערר;ערר;ערר;ערר;ערר;ערר;ערר;ערר;ערר;ערר</vt:lpwstr>
  </property>
  <property fmtid="{D5CDD505-2E9C-101B-9397-08002B2CF9AE}" pid="58" name="PADIMAIL">
    <vt:lpwstr> </vt:lpwstr>
  </property>
  <property fmtid="{D5CDD505-2E9C-101B-9397-08002B2CF9AE}" pid="59" name="PAGE">
    <vt:lpwstr> </vt:lpwstr>
  </property>
  <property fmtid="{D5CDD505-2E9C-101B-9397-08002B2CF9AE}" pid="60" name="PART">
    <vt:lpwstr> </vt:lpwstr>
  </property>
  <property fmtid="{D5CDD505-2E9C-101B-9397-08002B2CF9AE}" pid="61" name="PROCESS">
    <vt:lpwstr> </vt:lpwstr>
  </property>
  <property fmtid="{D5CDD505-2E9C-101B-9397-08002B2CF9AE}" pid="62" name="PROCNUM">
    <vt:lpwstr> </vt:lpwstr>
  </property>
  <property fmtid="{D5CDD505-2E9C-101B-9397-08002B2CF9AE}" pid="63" name="PROCYEAR">
    <vt:lpwstr> </vt:lpwstr>
  </property>
  <property fmtid="{D5CDD505-2E9C-101B-9397-08002B2CF9AE}" pid="64" name="PSAKDIN">
    <vt:lpwstr>החלטה</vt:lpwstr>
  </property>
  <property fmtid="{D5CDD505-2E9C-101B-9397-08002B2CF9AE}" pid="65" name="THEDATE">
    <vt:lpwstr>20261005</vt:lpwstr>
  </property>
  <property fmtid="{D5CDD505-2E9C-101B-9397-08002B2CF9AE}" pid="66" name="TYPE">
    <vt:lpwstr>E</vt:lpwstr>
  </property>
  <property fmtid="{D5CDD505-2E9C-101B-9397-08002B2CF9AE}" pid="67" name="TYPE_ABS_DATE">
    <vt:lpwstr>300020261005</vt:lpwstr>
  </property>
  <property fmtid="{D5CDD505-2E9C-101B-9397-08002B2CF9AE}" pid="68" name="TYPE_N_DATE">
    <vt:lpwstr>30020261005</vt:lpwstr>
  </property>
  <property fmtid="{D5CDD505-2E9C-101B-9397-08002B2CF9AE}" pid="69" name="VOLUME">
    <vt:lpwstr> </vt:lpwstr>
  </property>
  <property fmtid="{D5CDD505-2E9C-101B-9397-08002B2CF9AE}" pid="70" name="WORDNUMPAGES">
    <vt:lpwstr>31</vt:lpwstr>
  </property>
</Properties>
</file>