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1.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media/image1.jpeg" ContentType="image/jpeg"/>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bidiVisual w:val="true"/>
        <w:tblW w:w="8634" w:type="dxa"/>
        <w:jc w:val="end"/>
        <w:tblInd w:w="0" w:type="dxa"/>
        <w:tblLayout w:type="fixed"/>
        <w:tblCellMar>
          <w:top w:w="0" w:type="dxa"/>
          <w:start w:w="108" w:type="dxa"/>
          <w:bottom w:w="0" w:type="dxa"/>
          <w:end w:w="108" w:type="dxa"/>
        </w:tblCellMar>
      </w:tblPr>
      <w:tblGrid>
        <w:gridCol w:w="4485"/>
        <w:gridCol w:w="4149"/>
      </w:tblGrid>
      <w:tr>
        <w:trPr/>
        <w:tc>
          <w:tcPr>
            <w:tcW w:w="4485" w:type="dxa"/>
            <w:tcBorders/>
          </w:tcPr>
          <w:p>
            <w:pPr>
              <w:pStyle w:val="Header"/>
              <w:ind w:end="0"/>
              <w:jc w:val="center"/>
              <w:rPr>
                <w:sz w:val="28"/>
                <w:szCs w:val="28"/>
              </w:rPr>
            </w:pPr>
            <w:r>
              <w:rPr>
                <w:rFonts w:cs="Narkisim"/>
                <w:sz w:val="28"/>
                <w:sz w:val="28"/>
                <w:szCs w:val="28"/>
                <w:rtl w:val="true"/>
              </w:rPr>
              <w:t>מדינת</w:t>
            </w:r>
            <w:r>
              <w:rPr>
                <w:rFonts w:cs="Times New Roman"/>
                <w:sz w:val="28"/>
                <w:sz w:val="28"/>
                <w:szCs w:val="28"/>
                <w:rtl w:val="true"/>
              </w:rPr>
              <w:t xml:space="preserve"> </w:t>
            </w:r>
            <w:r>
              <w:rPr>
                <w:rFonts w:cs="Narkisim"/>
                <w:sz w:val="28"/>
                <w:sz w:val="28"/>
                <w:szCs w:val="28"/>
                <w:rtl w:val="true"/>
              </w:rPr>
              <w:t>ישראל</w:t>
            </w:r>
          </w:p>
          <w:p>
            <w:pPr>
              <w:pStyle w:val="Header"/>
              <w:ind w:end="0"/>
              <w:jc w:val="center"/>
              <w:rPr>
                <w:sz w:val="28"/>
                <w:szCs w:val="28"/>
              </w:rPr>
            </w:pPr>
            <w:r>
              <w:rPr>
                <w:rFonts w:cs="Narkisim"/>
                <w:sz w:val="28"/>
                <w:sz w:val="28"/>
                <w:szCs w:val="28"/>
                <w:rtl w:val="true"/>
              </w:rPr>
              <w:t>ועדת</w:t>
            </w:r>
            <w:r>
              <w:rPr>
                <w:rFonts w:cs="Times New Roman"/>
                <w:sz w:val="28"/>
                <w:sz w:val="28"/>
                <w:szCs w:val="28"/>
                <w:rtl w:val="true"/>
              </w:rPr>
              <w:t xml:space="preserve"> </w:t>
            </w:r>
            <w:r>
              <w:rPr>
                <w:rFonts w:cs="Narkisim"/>
                <w:sz w:val="28"/>
                <w:sz w:val="28"/>
                <w:szCs w:val="28"/>
                <w:rtl w:val="true"/>
              </w:rPr>
              <w:t>הערר</w:t>
            </w:r>
            <w:r>
              <w:rPr>
                <w:rFonts w:cs="Times New Roman"/>
                <w:sz w:val="28"/>
                <w:sz w:val="28"/>
                <w:szCs w:val="28"/>
                <w:rtl w:val="true"/>
              </w:rPr>
              <w:t xml:space="preserve"> </w:t>
            </w:r>
            <w:r>
              <w:rPr>
                <w:rFonts w:cs="Narkisim"/>
                <w:sz w:val="28"/>
                <w:sz w:val="28"/>
                <w:szCs w:val="28"/>
                <w:rtl w:val="true"/>
              </w:rPr>
              <w:t>לפיצויים</w:t>
            </w:r>
            <w:r>
              <w:rPr>
                <w:rFonts w:cs="Times New Roman"/>
                <w:sz w:val="28"/>
                <w:sz w:val="28"/>
                <w:szCs w:val="28"/>
                <w:rtl w:val="true"/>
              </w:rPr>
              <w:t xml:space="preserve"> </w:t>
            </w:r>
            <w:r>
              <w:rPr>
                <w:rFonts w:cs="Narkisim"/>
                <w:sz w:val="28"/>
                <w:sz w:val="28"/>
                <w:szCs w:val="28"/>
                <w:rtl w:val="true"/>
              </w:rPr>
              <w:t>והיטל</w:t>
            </w:r>
            <w:r>
              <w:rPr>
                <w:rFonts w:cs="Times New Roman"/>
                <w:sz w:val="28"/>
                <w:sz w:val="28"/>
                <w:szCs w:val="28"/>
                <w:rtl w:val="true"/>
              </w:rPr>
              <w:t xml:space="preserve"> </w:t>
            </w:r>
            <w:r>
              <w:rPr>
                <w:rFonts w:cs="Narkisim"/>
                <w:sz w:val="28"/>
                <w:sz w:val="28"/>
                <w:szCs w:val="28"/>
                <w:rtl w:val="true"/>
              </w:rPr>
              <w:t>השבחה</w:t>
            </w:r>
          </w:p>
          <w:p>
            <w:pPr>
              <w:pStyle w:val="Header"/>
              <w:ind w:end="0"/>
              <w:jc w:val="center"/>
              <w:rPr>
                <w:sz w:val="28"/>
                <w:szCs w:val="28"/>
              </w:rPr>
            </w:pPr>
            <w:r>
              <w:rPr>
                <w:rFonts w:cs="Narkisim"/>
                <w:sz w:val="28"/>
                <w:sz w:val="28"/>
                <w:szCs w:val="28"/>
                <w:rtl w:val="true"/>
              </w:rPr>
              <w:t>מחוז</w:t>
            </w:r>
            <w:r>
              <w:rPr>
                <w:rFonts w:cs="Times New Roman"/>
                <w:sz w:val="28"/>
                <w:sz w:val="28"/>
                <w:szCs w:val="28"/>
                <w:rtl w:val="true"/>
              </w:rPr>
              <w:t xml:space="preserve"> </w:t>
            </w:r>
            <w:r>
              <w:rPr>
                <w:rFonts w:cs="Narkisim"/>
                <w:sz w:val="28"/>
                <w:sz w:val="28"/>
                <w:szCs w:val="28"/>
                <w:rtl w:val="true"/>
              </w:rPr>
              <w:t>מרכז</w:t>
            </w:r>
          </w:p>
        </w:tc>
        <w:tc>
          <w:tcPr>
            <w:tcW w:w="4149" w:type="dxa"/>
            <w:tcBorders/>
          </w:tcPr>
          <w:p>
            <w:pPr>
              <w:pStyle w:val="Header"/>
              <w:ind w:end="0"/>
              <w:jc w:val="end"/>
              <w:rPr>
                <w:sz w:val="26"/>
                <w:szCs w:val="26"/>
              </w:rPr>
            </w:pPr>
            <w:r>
              <w:rPr>
                <w:sz w:val="26"/>
                <w:sz w:val="26"/>
                <w:szCs w:val="26"/>
                <w:rtl w:val="true"/>
              </w:rPr>
              <w:t>ערר</w:t>
            </w:r>
            <w:r>
              <w:rPr>
                <w:rFonts w:cs="Times New Roman"/>
                <w:sz w:val="26"/>
                <w:sz w:val="26"/>
                <w:szCs w:val="26"/>
                <w:rtl w:val="true"/>
              </w:rPr>
              <w:t xml:space="preserve"> </w:t>
            </w:r>
            <w:r>
              <w:rPr>
                <w:sz w:val="26"/>
                <w:sz w:val="26"/>
                <w:szCs w:val="26"/>
                <w:rtl w:val="true"/>
              </w:rPr>
              <w:t>נת</w:t>
            </w:r>
            <w:r>
              <w:rPr>
                <w:sz w:val="26"/>
                <w:szCs w:val="26"/>
                <w:rtl w:val="true"/>
              </w:rPr>
              <w:t>/</w:t>
            </w:r>
            <w:r>
              <w:rPr>
                <w:sz w:val="26"/>
                <w:szCs w:val="26"/>
              </w:rPr>
              <w:t>8059-8064/0925</w:t>
            </w:r>
          </w:p>
          <w:p>
            <w:pPr>
              <w:pStyle w:val="Header"/>
              <w:ind w:end="0"/>
              <w:jc w:val="end"/>
              <w:rPr>
                <w:sz w:val="26"/>
                <w:szCs w:val="26"/>
              </w:rPr>
            </w:pPr>
            <w:r>
              <w:rPr>
                <w:sz w:val="26"/>
                <w:sz w:val="26"/>
                <w:szCs w:val="26"/>
                <w:rtl w:val="true"/>
              </w:rPr>
              <w:t>נת</w:t>
            </w:r>
            <w:r>
              <w:rPr>
                <w:sz w:val="26"/>
                <w:szCs w:val="26"/>
                <w:rtl w:val="true"/>
              </w:rPr>
              <w:t>/</w:t>
            </w:r>
            <w:r>
              <w:rPr>
                <w:sz w:val="26"/>
                <w:szCs w:val="26"/>
              </w:rPr>
              <w:t>8069-8074/0925</w:t>
            </w:r>
          </w:p>
        </w:tc>
      </w:tr>
    </w:tbl>
    <w:p>
      <w:pPr>
        <w:pStyle w:val="Header"/>
        <w:ind w:end="0"/>
        <w:jc w:val="center"/>
        <w:rPr/>
      </w:pPr>
      <w:r>
        <w:rPr>
          <w:rtl w:val="true"/>
        </w:rPr>
      </w:r>
    </w:p>
    <w:p>
      <w:pPr>
        <w:pStyle w:val="Normal"/>
        <w:suppressLineNumbers/>
        <w:ind w:end="0"/>
        <w:jc w:val="start"/>
        <w:rPr>
          <w:rFonts w:ascii="David" w:hAnsi="David" w:cs="David"/>
        </w:rPr>
      </w:pPr>
      <w:r>
        <w:rPr>
          <w:rFonts w:cs="David" w:ascii="David" w:hAnsi="David"/>
          <w:rtl w:val="true"/>
        </w:rPr>
      </w:r>
    </w:p>
    <w:tbl>
      <w:tblPr>
        <w:bidiVisual w:val="true"/>
        <w:tblW w:w="8795" w:type="dxa"/>
        <w:jc w:val="center"/>
        <w:tblInd w:w="0" w:type="dxa"/>
        <w:tblLayout w:type="fixed"/>
        <w:tblCellMar>
          <w:top w:w="0" w:type="dxa"/>
          <w:start w:w="108" w:type="dxa"/>
          <w:bottom w:w="0" w:type="dxa"/>
          <w:end w:w="108" w:type="dxa"/>
        </w:tblCellMar>
      </w:tblPr>
      <w:tblGrid>
        <w:gridCol w:w="3516"/>
        <w:gridCol w:w="5272"/>
        <w:gridCol w:w="7"/>
      </w:tblGrid>
      <w:tr>
        <w:trPr/>
        <w:tc>
          <w:tcPr>
            <w:tcW w:w="3516" w:type="dxa"/>
            <w:tcBorders/>
          </w:tcPr>
          <w:p>
            <w:pPr>
              <w:pStyle w:val="Normal"/>
              <w:suppressLineNumbers/>
              <w:spacing w:lineRule="auto" w:line="360"/>
              <w:ind w:end="-295"/>
              <w:jc w:val="start"/>
              <w:rPr>
                <w:rFonts w:ascii="David" w:hAnsi="David" w:cs="David"/>
                <w:sz w:val="28"/>
                <w:szCs w:val="28"/>
              </w:rPr>
            </w:pPr>
            <w:r>
              <w:rPr>
                <w:rFonts w:ascii="David" w:hAnsi="David"/>
                <w:sz w:val="28"/>
                <w:sz w:val="28"/>
                <w:szCs w:val="28"/>
                <w:rtl w:val="true"/>
              </w:rPr>
              <w:t>לפני</w:t>
            </w:r>
            <w:r>
              <w:rPr>
                <w:rFonts w:cs="David" w:ascii="David" w:hAnsi="David"/>
                <w:sz w:val="28"/>
                <w:szCs w:val="28"/>
                <w:rtl w:val="true"/>
              </w:rPr>
              <w:t>:</w:t>
            </w:r>
          </w:p>
        </w:tc>
        <w:tc>
          <w:tcPr>
            <w:tcW w:w="5279" w:type="dxa"/>
            <w:tcBorders/>
            <w:vAlign w:val="bottom"/>
          </w:tcPr>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מר דביר סגלוביץ</w:t>
            </w:r>
            <w:r>
              <w:rPr>
                <w:rFonts w:cs="David" w:ascii="David" w:hAnsi="David"/>
                <w:sz w:val="28"/>
                <w:szCs w:val="28"/>
                <w:rtl w:val="true"/>
              </w:rPr>
              <w:t xml:space="preserve">', </w:t>
            </w:r>
            <w:r>
              <w:rPr>
                <w:rFonts w:ascii="David" w:hAnsi="David"/>
                <w:sz w:val="28"/>
                <w:sz w:val="28"/>
                <w:szCs w:val="28"/>
                <w:rtl w:val="true"/>
              </w:rPr>
              <w:t>עו</w:t>
            </w:r>
            <w:r>
              <w:rPr>
                <w:rFonts w:cs="David" w:ascii="David" w:hAnsi="David"/>
                <w:sz w:val="28"/>
                <w:szCs w:val="28"/>
                <w:rtl w:val="true"/>
              </w:rPr>
              <w:t>"</w:t>
            </w:r>
            <w:r>
              <w:rPr>
                <w:rFonts w:ascii="David" w:hAnsi="David"/>
                <w:sz w:val="28"/>
                <w:sz w:val="28"/>
                <w:szCs w:val="28"/>
                <w:rtl w:val="true"/>
              </w:rPr>
              <w:t xml:space="preserve">ד </w:t>
            </w:r>
            <w:r>
              <w:rPr>
                <w:rFonts w:cs="David" w:ascii="David" w:hAnsi="David"/>
                <w:sz w:val="28"/>
                <w:szCs w:val="28"/>
                <w:rtl w:val="true"/>
              </w:rPr>
              <w:t>(</w:t>
            </w:r>
            <w:r>
              <w:rPr>
                <w:rFonts w:ascii="David" w:hAnsi="David"/>
                <w:sz w:val="28"/>
                <w:sz w:val="28"/>
                <w:szCs w:val="28"/>
                <w:rtl w:val="true"/>
              </w:rPr>
              <w:t>יו</w:t>
            </w:r>
            <w:r>
              <w:rPr>
                <w:rFonts w:cs="David" w:ascii="David" w:hAnsi="David"/>
                <w:sz w:val="28"/>
                <w:szCs w:val="28"/>
                <w:rtl w:val="true"/>
              </w:rPr>
              <w:t>"</w:t>
            </w:r>
            <w:r>
              <w:rPr>
                <w:rFonts w:ascii="David" w:hAnsi="David"/>
                <w:sz w:val="28"/>
                <w:sz w:val="28"/>
                <w:szCs w:val="28"/>
                <w:rtl w:val="true"/>
              </w:rPr>
              <w:t>ר</w:t>
            </w:r>
            <w:r>
              <w:rPr>
                <w:rFonts w:cs="David" w:ascii="David" w:hAnsi="David"/>
                <w:sz w:val="28"/>
                <w:szCs w:val="28"/>
                <w:rtl w:val="true"/>
              </w:rPr>
              <w:t>)</w:t>
            </w:r>
          </w:p>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גב</w:t>
            </w:r>
            <w:r>
              <w:rPr>
                <w:rFonts w:cs="David" w:ascii="David" w:hAnsi="David"/>
                <w:sz w:val="28"/>
                <w:szCs w:val="28"/>
                <w:rtl w:val="true"/>
              </w:rPr>
              <w:t xml:space="preserve">' </w:t>
            </w:r>
            <w:r>
              <w:rPr>
                <w:rFonts w:ascii="David" w:hAnsi="David"/>
                <w:sz w:val="28"/>
                <w:sz w:val="28"/>
                <w:szCs w:val="28"/>
                <w:rtl w:val="true"/>
              </w:rPr>
              <w:t>נאוה סירקיס</w:t>
            </w:r>
            <w:r>
              <w:rPr>
                <w:rFonts w:cs="David" w:ascii="David" w:hAnsi="David"/>
                <w:sz w:val="28"/>
                <w:szCs w:val="28"/>
                <w:rtl w:val="true"/>
              </w:rPr>
              <w:t xml:space="preserve">, </w:t>
            </w:r>
            <w:r>
              <w:rPr>
                <w:rFonts w:ascii="David" w:hAnsi="David"/>
                <w:sz w:val="28"/>
                <w:sz w:val="28"/>
                <w:szCs w:val="28"/>
                <w:rtl w:val="true"/>
              </w:rPr>
              <w:t>שמאית מקרקעין</w:t>
            </w:r>
          </w:p>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גב</w:t>
            </w:r>
            <w:r>
              <w:rPr>
                <w:rFonts w:cs="David" w:ascii="David" w:hAnsi="David"/>
                <w:sz w:val="28"/>
                <w:szCs w:val="28"/>
                <w:rtl w:val="true"/>
              </w:rPr>
              <w:t xml:space="preserve">' </w:t>
            </w:r>
            <w:r>
              <w:rPr>
                <w:rFonts w:ascii="David" w:hAnsi="David"/>
                <w:sz w:val="28"/>
                <w:sz w:val="28"/>
                <w:szCs w:val="28"/>
                <w:rtl w:val="true"/>
              </w:rPr>
              <w:t xml:space="preserve">שפרה פרנקל </w:t>
            </w:r>
            <w:r>
              <w:rPr>
                <w:rFonts w:cs="David" w:ascii="David" w:hAnsi="David"/>
                <w:sz w:val="28"/>
                <w:szCs w:val="28"/>
                <w:rtl w:val="true"/>
              </w:rPr>
              <w:t>(</w:t>
            </w:r>
            <w:r>
              <w:rPr>
                <w:rFonts w:ascii="David" w:hAnsi="David"/>
                <w:sz w:val="28"/>
                <w:sz w:val="28"/>
                <w:szCs w:val="28"/>
                <w:rtl w:val="true"/>
              </w:rPr>
              <w:t>נציגת מתכננת המחוז</w:t>
            </w:r>
            <w:r>
              <w:rPr>
                <w:rFonts w:cs="David" w:ascii="David" w:hAnsi="David"/>
                <w:sz w:val="28"/>
                <w:szCs w:val="28"/>
                <w:rtl w:val="true"/>
              </w:rPr>
              <w:t>)</w:t>
            </w:r>
          </w:p>
        </w:tc>
      </w:tr>
      <w:tr>
        <w:trPr/>
        <w:tc>
          <w:tcPr>
            <w:tcW w:w="3516"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r>
      <w:tr>
        <w:trPr/>
        <w:tc>
          <w:tcPr>
            <w:tcW w:w="3516" w:type="dxa"/>
            <w:tcBorders/>
          </w:tcPr>
          <w:p>
            <w:pPr>
              <w:pStyle w:val="Normal"/>
              <w:suppressLineNumbers/>
              <w:spacing w:lineRule="auto" w:line="360"/>
              <w:ind w:end="0"/>
              <w:jc w:val="start"/>
              <w:rPr>
                <w:rFonts w:ascii="David" w:hAnsi="David" w:cs="David"/>
                <w:sz w:val="28"/>
                <w:szCs w:val="28"/>
              </w:rPr>
            </w:pPr>
            <w:bookmarkStart w:id="0" w:name="FirstAppellant"/>
            <w:bookmarkEnd w:id="0"/>
            <w:r>
              <w:rPr>
                <w:rFonts w:ascii="David" w:hAnsi="David"/>
                <w:sz w:val="28"/>
                <w:sz w:val="28"/>
                <w:szCs w:val="28"/>
                <w:rtl w:val="true"/>
              </w:rPr>
              <w:t xml:space="preserve">העוררים בערר </w:t>
            </w:r>
            <w:r>
              <w:rPr>
                <w:rFonts w:cs="David" w:ascii="David" w:hAnsi="David"/>
                <w:sz w:val="28"/>
                <w:szCs w:val="28"/>
              </w:rPr>
              <w:t>8069-74/25</w:t>
            </w:r>
            <w:r>
              <w:rPr>
                <w:rFonts w:cs="David" w:ascii="David" w:hAnsi="David"/>
                <w:sz w:val="28"/>
                <w:szCs w:val="28"/>
                <w:rtl w:val="true"/>
              </w:rPr>
              <w:t>:</w:t>
            </w:r>
          </w:p>
        </w:tc>
        <w:tc>
          <w:tcPr>
            <w:tcW w:w="5272" w:type="dxa"/>
            <w:tcBorders/>
            <w:vAlign w:val="bottom"/>
          </w:tcPr>
          <w:p>
            <w:pPr>
              <w:pStyle w:val="Normal"/>
              <w:suppressLineNumbers/>
              <w:spacing w:lineRule="auto" w:line="360"/>
              <w:ind w:end="0"/>
              <w:jc w:val="start"/>
              <w:rPr>
                <w:rFonts w:ascii="David" w:hAnsi="David" w:cs="David"/>
                <w:sz w:val="28"/>
                <w:szCs w:val="28"/>
              </w:rPr>
            </w:pPr>
            <w:r>
              <w:rPr>
                <w:sz w:val="28"/>
                <w:sz w:val="28"/>
                <w:szCs w:val="28"/>
                <w:rtl w:val="true"/>
              </w:rPr>
              <w:t>י</w:t>
            </w:r>
            <w:r>
              <w:rPr>
                <w:sz w:val="28"/>
                <w:szCs w:val="28"/>
                <w:rtl w:val="true"/>
              </w:rPr>
              <w:t>.</w:t>
            </w:r>
            <w:r>
              <w:rPr>
                <w:sz w:val="28"/>
                <w:sz w:val="28"/>
                <w:szCs w:val="28"/>
                <w:rtl w:val="true"/>
              </w:rPr>
              <w:t>ח</w:t>
            </w:r>
            <w:r>
              <w:rPr>
                <w:sz w:val="28"/>
                <w:szCs w:val="28"/>
                <w:rtl w:val="true"/>
              </w:rPr>
              <w:t xml:space="preserve">. </w:t>
            </w:r>
            <w:r>
              <w:rPr>
                <w:sz w:val="28"/>
                <w:sz w:val="28"/>
                <w:szCs w:val="28"/>
                <w:rtl w:val="true"/>
              </w:rPr>
              <w:t>דמרי</w:t>
            </w:r>
            <w:r>
              <w:rPr>
                <w:rFonts w:cs="Times New Roman"/>
                <w:sz w:val="28"/>
                <w:sz w:val="28"/>
                <w:szCs w:val="28"/>
                <w:rtl w:val="true"/>
              </w:rPr>
              <w:t xml:space="preserve"> </w:t>
            </w:r>
            <w:r>
              <w:rPr>
                <w:sz w:val="28"/>
                <w:sz w:val="28"/>
                <w:szCs w:val="28"/>
                <w:rtl w:val="true"/>
              </w:rPr>
              <w:t>בניה</w:t>
            </w:r>
            <w:r>
              <w:rPr>
                <w:rFonts w:cs="Times New Roman"/>
                <w:sz w:val="28"/>
                <w:sz w:val="28"/>
                <w:szCs w:val="28"/>
                <w:rtl w:val="true"/>
              </w:rPr>
              <w:t xml:space="preserve"> </w:t>
            </w:r>
            <w:r>
              <w:rPr>
                <w:sz w:val="28"/>
                <w:sz w:val="28"/>
                <w:szCs w:val="28"/>
                <w:rtl w:val="true"/>
              </w:rPr>
              <w:t>ופיתוח</w:t>
            </w:r>
            <w:r>
              <w:rPr>
                <w:rFonts w:cs="Times New Roman"/>
                <w:sz w:val="28"/>
                <w:sz w:val="28"/>
                <w:szCs w:val="28"/>
                <w:rtl w:val="true"/>
              </w:rPr>
              <w:t xml:space="preserve"> </w:t>
            </w:r>
            <w:r>
              <w:rPr>
                <w:sz w:val="28"/>
                <w:sz w:val="28"/>
                <w:szCs w:val="28"/>
                <w:rtl w:val="true"/>
              </w:rPr>
              <w:t>בע</w:t>
            </w:r>
            <w:r>
              <w:rPr>
                <w:sz w:val="28"/>
                <w:szCs w:val="28"/>
                <w:rtl w:val="true"/>
              </w:rPr>
              <w:t>"</w:t>
            </w:r>
            <w:r>
              <w:rPr>
                <w:sz w:val="28"/>
                <w:sz w:val="28"/>
                <w:szCs w:val="28"/>
                <w:rtl w:val="true"/>
              </w:rPr>
              <w:t>מ</w:t>
            </w:r>
            <w:r>
              <w:rPr>
                <w:rFonts w:cs="Times New Roman"/>
                <w:sz w:val="28"/>
                <w:sz w:val="28"/>
                <w:szCs w:val="28"/>
                <w:rtl w:val="true"/>
              </w:rPr>
              <w:t xml:space="preserve"> </w:t>
            </w:r>
            <w:r>
              <w:rPr>
                <w:sz w:val="28"/>
                <w:sz w:val="28"/>
                <w:szCs w:val="28"/>
                <w:rtl w:val="true"/>
              </w:rPr>
              <w:t>ואח</w:t>
            </w:r>
            <w:r>
              <w:rPr>
                <w:sz w:val="28"/>
                <w:szCs w:val="28"/>
                <w:rtl w:val="true"/>
              </w:rPr>
              <w:t>'</w:t>
            </w:r>
          </w:p>
        </w:tc>
      </w:tr>
      <w:tr>
        <w:trPr/>
        <w:tc>
          <w:tcPr>
            <w:tcW w:w="3516" w:type="dxa"/>
            <w:tcBorders/>
            <w:vAlign w:val="bottom"/>
          </w:tcPr>
          <w:p>
            <w:pPr>
              <w:pStyle w:val="Normal"/>
              <w:suppressLineNumbers/>
              <w:tabs>
                <w:tab w:val="clear" w:pos="720"/>
                <w:tab w:val="right" w:pos="3051" w:leader="none"/>
              </w:tab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r>
      <w:tr>
        <w:trPr/>
        <w:tc>
          <w:tcPr>
            <w:tcW w:w="3516" w:type="dxa"/>
            <w:tcBorders/>
            <w:vAlign w:val="bottom"/>
          </w:tcPr>
          <w:p>
            <w:pPr>
              <w:pStyle w:val="Normal"/>
              <w:suppressLineNumbers/>
              <w:tabs>
                <w:tab w:val="clear" w:pos="720"/>
                <w:tab w:val="right" w:pos="3051" w:leader="none"/>
              </w:tabs>
              <w:spacing w:lineRule="auto" w:line="360"/>
              <w:ind w:end="0"/>
              <w:jc w:val="start"/>
              <w:rPr>
                <w:rFonts w:ascii="David" w:hAnsi="David" w:cs="David"/>
                <w:sz w:val="28"/>
                <w:szCs w:val="28"/>
              </w:rPr>
            </w:pPr>
            <w:r>
              <w:rPr>
                <w:rFonts w:ascii="David" w:hAnsi="David"/>
                <w:sz w:val="28"/>
                <w:sz w:val="28"/>
                <w:szCs w:val="28"/>
                <w:rtl w:val="true"/>
              </w:rPr>
              <w:t>ה</w:t>
            </w:r>
            <w:r>
              <w:rPr>
                <w:sz w:val="28"/>
                <w:sz w:val="28"/>
                <w:szCs w:val="28"/>
                <w:rtl w:val="true"/>
              </w:rPr>
              <w:t>עוררת</w:t>
            </w:r>
            <w:r>
              <w:rPr>
                <w:rFonts w:cs="Times New Roman"/>
                <w:sz w:val="28"/>
                <w:sz w:val="28"/>
                <w:szCs w:val="28"/>
                <w:rtl w:val="true"/>
              </w:rPr>
              <w:t xml:space="preserve"> </w:t>
            </w:r>
            <w:r>
              <w:rPr>
                <w:sz w:val="28"/>
                <w:sz w:val="28"/>
                <w:szCs w:val="28"/>
                <w:rtl w:val="true"/>
              </w:rPr>
              <w:t>בערר</w:t>
            </w:r>
            <w:r>
              <w:rPr>
                <w:rFonts w:cs="Times New Roman"/>
                <w:sz w:val="28"/>
                <w:sz w:val="28"/>
                <w:szCs w:val="28"/>
                <w:rtl w:val="true"/>
              </w:rPr>
              <w:t xml:space="preserve"> </w:t>
            </w:r>
            <w:r>
              <w:rPr>
                <w:sz w:val="28"/>
                <w:szCs w:val="28"/>
              </w:rPr>
              <w:t>8059-64/25</w:t>
            </w:r>
            <w:r>
              <w:rPr>
                <w:sz w:val="28"/>
                <w:szCs w:val="28"/>
                <w:rtl w:val="true"/>
              </w:rPr>
              <w:t>:</w:t>
            </w:r>
          </w:p>
        </w:tc>
        <w:tc>
          <w:tcPr>
            <w:tcW w:w="5272" w:type="dxa"/>
            <w:tcBorders/>
            <w:vAlign w:val="bottom"/>
          </w:tcPr>
          <w:p>
            <w:pPr>
              <w:pStyle w:val="Normal"/>
              <w:suppressLineNumbers/>
              <w:spacing w:lineRule="auto" w:line="360"/>
              <w:ind w:end="0"/>
              <w:jc w:val="start"/>
              <w:rPr>
                <w:sz w:val="28"/>
                <w:szCs w:val="28"/>
              </w:rPr>
            </w:pPr>
            <w:r>
              <w:rPr>
                <w:sz w:val="28"/>
                <w:sz w:val="28"/>
                <w:szCs w:val="28"/>
                <w:rtl w:val="true"/>
              </w:rPr>
              <w:t>הוועדה</w:t>
            </w:r>
            <w:r>
              <w:rPr>
                <w:rFonts w:cs="Times New Roman"/>
                <w:sz w:val="28"/>
                <w:sz w:val="28"/>
                <w:szCs w:val="28"/>
                <w:rtl w:val="true"/>
              </w:rPr>
              <w:t xml:space="preserve"> </w:t>
            </w:r>
            <w:r>
              <w:rPr>
                <w:sz w:val="28"/>
                <w:sz w:val="28"/>
                <w:szCs w:val="28"/>
                <w:rtl w:val="true"/>
              </w:rPr>
              <w:t>המקומית</w:t>
            </w:r>
            <w:r>
              <w:rPr>
                <w:rFonts w:cs="Times New Roman"/>
                <w:sz w:val="28"/>
                <w:sz w:val="28"/>
                <w:szCs w:val="28"/>
                <w:rtl w:val="true"/>
              </w:rPr>
              <w:t xml:space="preserve"> </w:t>
            </w:r>
            <w:r>
              <w:rPr>
                <w:sz w:val="28"/>
                <w:sz w:val="28"/>
                <w:szCs w:val="28"/>
                <w:rtl w:val="true"/>
              </w:rPr>
              <w:t>לתכנון</w:t>
            </w:r>
            <w:r>
              <w:rPr>
                <w:rFonts w:cs="Times New Roman"/>
                <w:sz w:val="28"/>
                <w:sz w:val="28"/>
                <w:szCs w:val="28"/>
                <w:rtl w:val="true"/>
              </w:rPr>
              <w:t xml:space="preserve"> </w:t>
            </w:r>
            <w:r>
              <w:rPr>
                <w:sz w:val="28"/>
                <w:sz w:val="28"/>
                <w:szCs w:val="28"/>
                <w:rtl w:val="true"/>
              </w:rPr>
              <w:t>ובנייה</w:t>
            </w:r>
            <w:r>
              <w:rPr>
                <w:rFonts w:cs="Times New Roman"/>
                <w:sz w:val="28"/>
                <w:sz w:val="28"/>
                <w:szCs w:val="28"/>
                <w:rtl w:val="true"/>
              </w:rPr>
              <w:t xml:space="preserve"> </w:t>
            </w:r>
            <w:r>
              <w:rPr>
                <w:sz w:val="28"/>
                <w:sz w:val="28"/>
                <w:szCs w:val="28"/>
                <w:rtl w:val="true"/>
              </w:rPr>
              <w:t>נתניה</w:t>
            </w:r>
          </w:p>
        </w:tc>
      </w:tr>
      <w:tr>
        <w:trPr/>
        <w:tc>
          <w:tcPr>
            <w:tcW w:w="3516" w:type="dxa"/>
            <w:tcBorders/>
            <w:vAlign w:val="bottom"/>
          </w:tcPr>
          <w:p>
            <w:pPr>
              <w:pStyle w:val="Normal"/>
              <w:suppressLineNumbers/>
              <w:tabs>
                <w:tab w:val="clear" w:pos="720"/>
                <w:tab w:val="right" w:pos="3051" w:leader="none"/>
              </w:tab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pacing w:val="40"/>
                <w:sz w:val="28"/>
                <w:szCs w:val="28"/>
              </w:rPr>
            </w:pPr>
            <w:r>
              <w:rPr>
                <w:rFonts w:cs="David" w:ascii="David" w:hAnsi="David"/>
                <w:spacing w:val="40"/>
                <w:sz w:val="28"/>
                <w:szCs w:val="28"/>
                <w:rtl w:val="true"/>
              </w:rPr>
            </w:r>
          </w:p>
        </w:tc>
      </w:tr>
      <w:tr>
        <w:trPr/>
        <w:tc>
          <w:tcPr>
            <w:tcW w:w="3516" w:type="dxa"/>
            <w:tcBorders/>
            <w:vAlign w:val="bottom"/>
          </w:tcPr>
          <w:p>
            <w:pPr>
              <w:pStyle w:val="Normal"/>
              <w:suppressLineNumbers/>
              <w:tabs>
                <w:tab w:val="clear" w:pos="720"/>
                <w:tab w:val="right" w:pos="3051" w:leader="none"/>
              </w:tabs>
              <w:snapToGrid w:val="false"/>
              <w:spacing w:lineRule="auto" w:line="360"/>
              <w:ind w:end="0"/>
              <w:jc w:val="start"/>
              <w:rPr>
                <w:rFonts w:ascii="David" w:hAnsi="David" w:cs="David"/>
                <w:spacing w:val="40"/>
                <w:sz w:val="28"/>
                <w:szCs w:val="28"/>
              </w:rPr>
            </w:pPr>
            <w:r>
              <w:rPr>
                <w:rFonts w:cs="David" w:ascii="David" w:hAnsi="David"/>
                <w:spacing w:val="40"/>
                <w:sz w:val="28"/>
                <w:szCs w:val="28"/>
                <w:rtl w:val="true"/>
              </w:rPr>
            </w:r>
          </w:p>
        </w:tc>
        <w:tc>
          <w:tcPr>
            <w:tcW w:w="5272" w:type="dxa"/>
            <w:tcBorders/>
            <w:vAlign w:val="bottom"/>
          </w:tcPr>
          <w:p>
            <w:pPr>
              <w:pStyle w:val="Normal"/>
              <w:suppressLineNumbers/>
              <w:spacing w:lineRule="auto" w:line="360"/>
              <w:ind w:end="0"/>
              <w:jc w:val="start"/>
              <w:rPr>
                <w:sz w:val="28"/>
                <w:szCs w:val="28"/>
              </w:rPr>
            </w:pPr>
            <w:r>
              <w:rPr>
                <w:rFonts w:ascii="David" w:hAnsi="David"/>
                <w:spacing w:val="40"/>
                <w:sz w:val="28"/>
                <w:sz w:val="28"/>
                <w:szCs w:val="28"/>
                <w:rtl w:val="true"/>
              </w:rPr>
              <w:t>נגד</w:t>
            </w:r>
          </w:p>
        </w:tc>
      </w:tr>
      <w:tr>
        <w:trPr/>
        <w:tc>
          <w:tcPr>
            <w:tcW w:w="8788" w:type="dxa"/>
            <w:gridSpan w:val="2"/>
            <w:tcBorders/>
            <w:vAlign w:val="bottom"/>
          </w:tcPr>
          <w:p>
            <w:pPr>
              <w:pStyle w:val="Normal"/>
              <w:suppressLineNumbers/>
              <w:snapToGrid w:val="false"/>
              <w:spacing w:lineRule="auto" w:line="360"/>
              <w:ind w:start="2880" w:end="0"/>
              <w:jc w:val="start"/>
              <w:rPr>
                <w:rFonts w:ascii="David" w:hAnsi="David" w:cs="David"/>
                <w:sz w:val="28"/>
                <w:szCs w:val="28"/>
              </w:rPr>
            </w:pPr>
            <w:r>
              <w:rPr>
                <w:rFonts w:cs="David" w:ascii="David" w:hAnsi="David"/>
                <w:sz w:val="28"/>
                <w:szCs w:val="28"/>
                <w:rtl w:val="true"/>
              </w:rPr>
            </w:r>
          </w:p>
        </w:tc>
      </w:tr>
      <w:tr>
        <w:trPr/>
        <w:tc>
          <w:tcPr>
            <w:tcW w:w="3516" w:type="dxa"/>
            <w:tcBorders/>
            <w:vAlign w:val="bottom"/>
          </w:tcPr>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 xml:space="preserve">המשיבה בערר </w:t>
            </w:r>
            <w:r>
              <w:rPr>
                <w:rFonts w:cs="David" w:ascii="David" w:hAnsi="David"/>
                <w:sz w:val="28"/>
                <w:szCs w:val="28"/>
              </w:rPr>
              <w:t>8069-74/25</w:t>
            </w:r>
            <w:r>
              <w:rPr>
                <w:rFonts w:cs="David" w:ascii="David" w:hAnsi="David"/>
                <w:sz w:val="28"/>
                <w:szCs w:val="28"/>
                <w:rtl w:val="true"/>
              </w:rPr>
              <w:t>:</w:t>
            </w:r>
          </w:p>
        </w:tc>
        <w:tc>
          <w:tcPr>
            <w:tcW w:w="5272" w:type="dxa"/>
            <w:tcBorders/>
            <w:vAlign w:val="bottom"/>
          </w:tcPr>
          <w:p>
            <w:pPr>
              <w:pStyle w:val="Normal"/>
              <w:suppressLineNumbers/>
              <w:spacing w:lineRule="auto" w:line="360"/>
              <w:ind w:end="0"/>
              <w:jc w:val="start"/>
              <w:rPr>
                <w:rFonts w:ascii="David" w:hAnsi="David" w:cs="David"/>
                <w:sz w:val="28"/>
                <w:szCs w:val="28"/>
              </w:rPr>
            </w:pPr>
            <w:r>
              <w:rPr>
                <w:sz w:val="28"/>
                <w:sz w:val="28"/>
                <w:szCs w:val="28"/>
                <w:rtl w:val="true"/>
              </w:rPr>
              <w:t>הוועדה</w:t>
            </w:r>
            <w:r>
              <w:rPr>
                <w:rFonts w:cs="Times New Roman"/>
                <w:sz w:val="28"/>
                <w:sz w:val="28"/>
                <w:szCs w:val="28"/>
                <w:rtl w:val="true"/>
              </w:rPr>
              <w:t xml:space="preserve"> </w:t>
            </w:r>
            <w:r>
              <w:rPr>
                <w:sz w:val="28"/>
                <w:sz w:val="28"/>
                <w:szCs w:val="28"/>
                <w:rtl w:val="true"/>
              </w:rPr>
              <w:t>המקומית</w:t>
            </w:r>
            <w:r>
              <w:rPr>
                <w:rFonts w:cs="Times New Roman"/>
                <w:sz w:val="28"/>
                <w:sz w:val="28"/>
                <w:szCs w:val="28"/>
                <w:rtl w:val="true"/>
              </w:rPr>
              <w:t xml:space="preserve"> </w:t>
            </w:r>
            <w:r>
              <w:rPr>
                <w:sz w:val="28"/>
                <w:sz w:val="28"/>
                <w:szCs w:val="28"/>
                <w:rtl w:val="true"/>
              </w:rPr>
              <w:t>לתכנון</w:t>
            </w:r>
            <w:r>
              <w:rPr>
                <w:rFonts w:cs="Times New Roman"/>
                <w:sz w:val="28"/>
                <w:sz w:val="28"/>
                <w:szCs w:val="28"/>
                <w:rtl w:val="true"/>
              </w:rPr>
              <w:t xml:space="preserve"> </w:t>
            </w:r>
            <w:r>
              <w:rPr>
                <w:sz w:val="28"/>
                <w:sz w:val="28"/>
                <w:szCs w:val="28"/>
                <w:rtl w:val="true"/>
              </w:rPr>
              <w:t>ובנייה</w:t>
            </w:r>
            <w:r>
              <w:rPr>
                <w:rFonts w:cs="Times New Roman"/>
                <w:sz w:val="28"/>
                <w:sz w:val="28"/>
                <w:szCs w:val="28"/>
                <w:rtl w:val="true"/>
              </w:rPr>
              <w:t xml:space="preserve"> </w:t>
            </w:r>
            <w:r>
              <w:rPr>
                <w:sz w:val="28"/>
                <w:sz w:val="28"/>
                <w:szCs w:val="28"/>
                <w:rtl w:val="true"/>
              </w:rPr>
              <w:t>נתניה</w:t>
            </w:r>
          </w:p>
        </w:tc>
      </w:tr>
      <w:tr>
        <w:trPr/>
        <w:tc>
          <w:tcPr>
            <w:tcW w:w="3516" w:type="dxa"/>
            <w:tcBorders/>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r>
      <w:tr>
        <w:trPr/>
        <w:tc>
          <w:tcPr>
            <w:tcW w:w="3516" w:type="dxa"/>
            <w:tcBorders/>
          </w:tcPr>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ה</w:t>
            </w:r>
            <w:r>
              <w:rPr>
                <w:sz w:val="28"/>
                <w:sz w:val="28"/>
                <w:szCs w:val="28"/>
                <w:rtl w:val="true"/>
              </w:rPr>
              <w:t>משיבים</w:t>
            </w:r>
            <w:r>
              <w:rPr>
                <w:rFonts w:cs="Times New Roman"/>
                <w:sz w:val="28"/>
                <w:sz w:val="28"/>
                <w:szCs w:val="28"/>
                <w:rtl w:val="true"/>
              </w:rPr>
              <w:t xml:space="preserve"> </w:t>
            </w:r>
            <w:r>
              <w:rPr>
                <w:sz w:val="28"/>
                <w:sz w:val="28"/>
                <w:szCs w:val="28"/>
                <w:rtl w:val="true"/>
              </w:rPr>
              <w:t>בערר</w:t>
            </w:r>
            <w:r>
              <w:rPr>
                <w:rFonts w:cs="Times New Roman"/>
                <w:sz w:val="28"/>
                <w:sz w:val="28"/>
                <w:szCs w:val="28"/>
                <w:rtl w:val="true"/>
              </w:rPr>
              <w:t xml:space="preserve"> </w:t>
            </w:r>
            <w:r>
              <w:rPr>
                <w:sz w:val="28"/>
                <w:szCs w:val="28"/>
              </w:rPr>
              <w:t>8059-64/25</w:t>
            </w:r>
            <w:r>
              <w:rPr>
                <w:sz w:val="28"/>
                <w:szCs w:val="28"/>
                <w:rtl w:val="true"/>
              </w:rPr>
              <w:t>:</w:t>
            </w:r>
          </w:p>
        </w:tc>
        <w:tc>
          <w:tcPr>
            <w:tcW w:w="5272" w:type="dxa"/>
            <w:tcBorders/>
            <w:vAlign w:val="bottom"/>
          </w:tcPr>
          <w:p>
            <w:pPr>
              <w:pStyle w:val="Normal"/>
              <w:suppressLineNumbers/>
              <w:spacing w:lineRule="auto" w:line="360"/>
              <w:ind w:end="0"/>
              <w:jc w:val="start"/>
              <w:rPr>
                <w:rFonts w:ascii="David" w:hAnsi="David" w:cs="David"/>
                <w:sz w:val="28"/>
                <w:szCs w:val="28"/>
              </w:rPr>
            </w:pPr>
            <w:r>
              <w:rPr>
                <w:sz w:val="28"/>
                <w:sz w:val="28"/>
                <w:szCs w:val="28"/>
                <w:rtl w:val="true"/>
              </w:rPr>
              <w:t>י</w:t>
            </w:r>
            <w:r>
              <w:rPr>
                <w:sz w:val="28"/>
                <w:szCs w:val="28"/>
                <w:rtl w:val="true"/>
              </w:rPr>
              <w:t>.</w:t>
            </w:r>
            <w:r>
              <w:rPr>
                <w:sz w:val="28"/>
                <w:sz w:val="28"/>
                <w:szCs w:val="28"/>
                <w:rtl w:val="true"/>
              </w:rPr>
              <w:t>ח</w:t>
            </w:r>
            <w:r>
              <w:rPr>
                <w:sz w:val="28"/>
                <w:szCs w:val="28"/>
                <w:rtl w:val="true"/>
              </w:rPr>
              <w:t xml:space="preserve">. </w:t>
            </w:r>
            <w:r>
              <w:rPr>
                <w:sz w:val="28"/>
                <w:sz w:val="28"/>
                <w:szCs w:val="28"/>
                <w:rtl w:val="true"/>
              </w:rPr>
              <w:t>דמרי</w:t>
            </w:r>
            <w:r>
              <w:rPr>
                <w:rFonts w:cs="Times New Roman"/>
                <w:sz w:val="28"/>
                <w:sz w:val="28"/>
                <w:szCs w:val="28"/>
                <w:rtl w:val="true"/>
              </w:rPr>
              <w:t xml:space="preserve"> </w:t>
            </w:r>
            <w:r>
              <w:rPr>
                <w:sz w:val="28"/>
                <w:sz w:val="28"/>
                <w:szCs w:val="28"/>
                <w:rtl w:val="true"/>
              </w:rPr>
              <w:t>בניה</w:t>
            </w:r>
            <w:r>
              <w:rPr>
                <w:rFonts w:cs="Times New Roman"/>
                <w:sz w:val="28"/>
                <w:sz w:val="28"/>
                <w:szCs w:val="28"/>
                <w:rtl w:val="true"/>
              </w:rPr>
              <w:t xml:space="preserve"> </w:t>
            </w:r>
            <w:r>
              <w:rPr>
                <w:sz w:val="28"/>
                <w:sz w:val="28"/>
                <w:szCs w:val="28"/>
                <w:rtl w:val="true"/>
              </w:rPr>
              <w:t>ופיתוח</w:t>
            </w:r>
            <w:r>
              <w:rPr>
                <w:rFonts w:cs="Times New Roman"/>
                <w:sz w:val="28"/>
                <w:sz w:val="28"/>
                <w:szCs w:val="28"/>
                <w:rtl w:val="true"/>
              </w:rPr>
              <w:t xml:space="preserve"> </w:t>
            </w:r>
            <w:r>
              <w:rPr>
                <w:sz w:val="28"/>
                <w:sz w:val="28"/>
                <w:szCs w:val="28"/>
                <w:rtl w:val="true"/>
              </w:rPr>
              <w:t>בע</w:t>
            </w:r>
            <w:r>
              <w:rPr>
                <w:sz w:val="28"/>
                <w:szCs w:val="28"/>
                <w:rtl w:val="true"/>
              </w:rPr>
              <w:t>"</w:t>
            </w:r>
            <w:r>
              <w:rPr>
                <w:sz w:val="28"/>
                <w:sz w:val="28"/>
                <w:szCs w:val="28"/>
                <w:rtl w:val="true"/>
              </w:rPr>
              <w:t>מ</w:t>
            </w:r>
            <w:r>
              <w:rPr>
                <w:rFonts w:cs="Times New Roman"/>
                <w:sz w:val="28"/>
                <w:sz w:val="28"/>
                <w:szCs w:val="28"/>
                <w:rtl w:val="true"/>
              </w:rPr>
              <w:t xml:space="preserve"> </w:t>
            </w:r>
            <w:r>
              <w:rPr>
                <w:sz w:val="28"/>
                <w:sz w:val="28"/>
                <w:szCs w:val="28"/>
                <w:rtl w:val="true"/>
              </w:rPr>
              <w:t>ואח</w:t>
            </w:r>
            <w:r>
              <w:rPr>
                <w:sz w:val="28"/>
                <w:szCs w:val="28"/>
                <w:rtl w:val="true"/>
              </w:rPr>
              <w:t>'</w:t>
            </w:r>
          </w:p>
        </w:tc>
      </w:tr>
      <w:tr>
        <w:trPr/>
        <w:tc>
          <w:tcPr>
            <w:tcW w:w="3516"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r>
      <w:tr>
        <w:trPr/>
        <w:tc>
          <w:tcPr>
            <w:tcW w:w="3516" w:type="dxa"/>
            <w:tcBorders/>
            <w:vAlign w:val="bottom"/>
          </w:tcPr>
          <w:p>
            <w:pPr>
              <w:pStyle w:val="Normal"/>
              <w:suppressLineNumbers/>
              <w:spacing w:lineRule="auto" w:line="360"/>
              <w:ind w:end="0"/>
              <w:jc w:val="start"/>
              <w:rPr>
                <w:rFonts w:ascii="David" w:hAnsi="David" w:cs="David"/>
                <w:sz w:val="28"/>
                <w:szCs w:val="28"/>
              </w:rPr>
            </w:pPr>
            <w:bookmarkStart w:id="1" w:name="FirstLawyer"/>
            <w:bookmarkEnd w:id="1"/>
            <w:r>
              <w:rPr>
                <w:rFonts w:ascii="David" w:hAnsi="David"/>
                <w:sz w:val="28"/>
                <w:sz w:val="28"/>
                <w:szCs w:val="28"/>
                <w:rtl w:val="true"/>
              </w:rPr>
              <w:t xml:space="preserve">בשם העוררים בערר </w:t>
            </w:r>
            <w:r>
              <w:rPr>
                <w:rFonts w:cs="David" w:ascii="David" w:hAnsi="David"/>
                <w:sz w:val="28"/>
                <w:szCs w:val="28"/>
              </w:rPr>
              <w:t>8069-74/25</w:t>
            </w:r>
            <w:r>
              <w:rPr>
                <w:rFonts w:cs="David" w:ascii="David" w:hAnsi="David"/>
                <w:sz w:val="28"/>
                <w:szCs w:val="28"/>
                <w:rtl w:val="true"/>
              </w:rPr>
              <w:t xml:space="preserve"> </w:t>
            </w:r>
            <w:r>
              <w:rPr>
                <w:rFonts w:ascii="David" w:hAnsi="David"/>
                <w:sz w:val="28"/>
                <w:sz w:val="28"/>
                <w:szCs w:val="28"/>
                <w:rtl w:val="true"/>
              </w:rPr>
              <w:t>והמשיבים</w:t>
            </w:r>
            <w:r>
              <w:rPr>
                <w:rFonts w:cs="Times New Roman"/>
                <w:sz w:val="28"/>
                <w:sz w:val="28"/>
                <w:szCs w:val="28"/>
                <w:rtl w:val="true"/>
              </w:rPr>
              <w:t xml:space="preserve"> </w:t>
            </w:r>
            <w:r>
              <w:rPr>
                <w:sz w:val="28"/>
                <w:sz w:val="28"/>
                <w:szCs w:val="28"/>
                <w:rtl w:val="true"/>
              </w:rPr>
              <w:t>בערר</w:t>
            </w:r>
            <w:r>
              <w:rPr>
                <w:rFonts w:cs="Times New Roman"/>
                <w:sz w:val="28"/>
                <w:sz w:val="28"/>
                <w:szCs w:val="28"/>
                <w:rtl w:val="true"/>
              </w:rPr>
              <w:t xml:space="preserve"> </w:t>
            </w:r>
            <w:r>
              <w:rPr>
                <w:sz w:val="28"/>
                <w:szCs w:val="28"/>
              </w:rPr>
              <w:t>8059-64/25</w:t>
            </w:r>
            <w:r>
              <w:rPr>
                <w:sz w:val="28"/>
                <w:szCs w:val="28"/>
                <w:rtl w:val="true"/>
              </w:rPr>
              <w:t>:</w:t>
            </w:r>
          </w:p>
        </w:tc>
        <w:tc>
          <w:tcPr>
            <w:tcW w:w="5272" w:type="dxa"/>
            <w:tcBorders/>
            <w:vAlign w:val="bottom"/>
          </w:tcPr>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עו</w:t>
            </w:r>
            <w:r>
              <w:rPr>
                <w:rFonts w:cs="David" w:ascii="David" w:hAnsi="David"/>
                <w:sz w:val="28"/>
                <w:szCs w:val="28"/>
                <w:rtl w:val="true"/>
              </w:rPr>
              <w:t>"</w:t>
            </w:r>
            <w:r>
              <w:rPr>
                <w:rFonts w:ascii="David" w:hAnsi="David"/>
                <w:sz w:val="28"/>
                <w:sz w:val="28"/>
                <w:szCs w:val="28"/>
                <w:rtl w:val="true"/>
              </w:rPr>
              <w:t>ד בנימין זלמנוביץ</w:t>
            </w:r>
          </w:p>
        </w:tc>
      </w:tr>
      <w:tr>
        <w:trPr/>
        <w:tc>
          <w:tcPr>
            <w:tcW w:w="3516"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c>
          <w:tcPr>
            <w:tcW w:w="5272" w:type="dxa"/>
            <w:tcBorders/>
            <w:vAlign w:val="bottom"/>
          </w:tcPr>
          <w:p>
            <w:pPr>
              <w:pStyle w:val="Normal"/>
              <w:suppressLineNumbers/>
              <w:snapToGrid w:val="false"/>
              <w:spacing w:lineRule="auto" w:line="360"/>
              <w:ind w:end="0"/>
              <w:jc w:val="start"/>
              <w:rPr>
                <w:rFonts w:ascii="David" w:hAnsi="David" w:cs="David"/>
                <w:sz w:val="28"/>
                <w:szCs w:val="28"/>
              </w:rPr>
            </w:pPr>
            <w:r>
              <w:rPr>
                <w:rFonts w:cs="David" w:ascii="David" w:hAnsi="David"/>
                <w:sz w:val="28"/>
                <w:szCs w:val="28"/>
                <w:rtl w:val="true"/>
              </w:rPr>
            </w:r>
          </w:p>
        </w:tc>
      </w:tr>
      <w:tr>
        <w:trPr/>
        <w:tc>
          <w:tcPr>
            <w:tcW w:w="3516" w:type="dxa"/>
            <w:tcBorders/>
            <w:vAlign w:val="bottom"/>
          </w:tcPr>
          <w:p>
            <w:pPr>
              <w:pStyle w:val="Normal"/>
              <w:suppressLineNumbers/>
              <w:spacing w:lineRule="auto" w:line="360"/>
              <w:ind w:end="0"/>
              <w:jc w:val="start"/>
              <w:rPr/>
            </w:pPr>
            <w:r>
              <w:rPr>
                <w:rFonts w:ascii="David" w:hAnsi="David"/>
                <w:sz w:val="28"/>
                <w:sz w:val="28"/>
                <w:szCs w:val="28"/>
                <w:rtl w:val="true"/>
              </w:rPr>
              <w:t xml:space="preserve">בשם העוררת </w:t>
            </w:r>
            <w:r>
              <w:rPr>
                <w:sz w:val="28"/>
                <w:sz w:val="28"/>
                <w:szCs w:val="28"/>
                <w:rtl w:val="true"/>
              </w:rPr>
              <w:t>בערר</w:t>
            </w:r>
            <w:r>
              <w:rPr>
                <w:rFonts w:cs="Times New Roman"/>
                <w:sz w:val="28"/>
                <w:sz w:val="28"/>
                <w:szCs w:val="28"/>
                <w:rtl w:val="true"/>
              </w:rPr>
              <w:t xml:space="preserve">  </w:t>
            </w:r>
            <w:r>
              <w:rPr>
                <w:sz w:val="28"/>
                <w:szCs w:val="28"/>
              </w:rPr>
              <w:t>8059-64/25</w:t>
            </w:r>
            <w:r>
              <w:rPr>
                <w:sz w:val="28"/>
                <w:szCs w:val="28"/>
                <w:rtl w:val="true"/>
              </w:rPr>
              <w:t xml:space="preserve"> </w:t>
            </w:r>
            <w:r>
              <w:rPr>
                <w:sz w:val="28"/>
                <w:sz w:val="28"/>
                <w:szCs w:val="28"/>
                <w:rtl w:val="true"/>
              </w:rPr>
              <w:t>ו</w:t>
            </w:r>
            <w:r>
              <w:rPr>
                <w:rFonts w:ascii="David" w:hAnsi="David"/>
                <w:sz w:val="28"/>
                <w:sz w:val="28"/>
                <w:szCs w:val="28"/>
                <w:rtl w:val="true"/>
              </w:rPr>
              <w:t xml:space="preserve">המשיבה בערר </w:t>
            </w:r>
            <w:r>
              <w:rPr>
                <w:rFonts w:cs="David" w:ascii="David" w:hAnsi="David"/>
                <w:sz w:val="28"/>
                <w:szCs w:val="28"/>
              </w:rPr>
              <w:t>8069-74/25</w:t>
            </w:r>
            <w:r>
              <w:rPr>
                <w:rFonts w:cs="David" w:ascii="David" w:hAnsi="David"/>
                <w:sz w:val="28"/>
                <w:szCs w:val="28"/>
                <w:rtl w:val="true"/>
              </w:rPr>
              <w:t>:</w:t>
            </w:r>
          </w:p>
        </w:tc>
        <w:tc>
          <w:tcPr>
            <w:tcW w:w="5272" w:type="dxa"/>
            <w:tcBorders/>
            <w:vAlign w:val="bottom"/>
          </w:tcPr>
          <w:p>
            <w:pPr>
              <w:pStyle w:val="Normal"/>
              <w:suppressLineNumbers/>
              <w:spacing w:lineRule="auto" w:line="360"/>
              <w:ind w:end="0"/>
              <w:jc w:val="start"/>
              <w:rPr>
                <w:rFonts w:ascii="David" w:hAnsi="David" w:cs="David"/>
                <w:sz w:val="28"/>
                <w:szCs w:val="28"/>
              </w:rPr>
            </w:pPr>
            <w:r>
              <w:rPr>
                <w:rFonts w:ascii="David" w:hAnsi="David"/>
                <w:sz w:val="28"/>
                <w:sz w:val="28"/>
                <w:szCs w:val="28"/>
                <w:rtl w:val="true"/>
              </w:rPr>
              <w:t>עו</w:t>
            </w:r>
            <w:r>
              <w:rPr>
                <w:rFonts w:cs="David" w:ascii="David" w:hAnsi="David"/>
                <w:sz w:val="28"/>
                <w:szCs w:val="28"/>
                <w:rtl w:val="true"/>
              </w:rPr>
              <w:t>"</w:t>
            </w:r>
            <w:r>
              <w:rPr>
                <w:rFonts w:ascii="David" w:hAnsi="David"/>
                <w:sz w:val="28"/>
                <w:sz w:val="28"/>
                <w:szCs w:val="28"/>
                <w:rtl w:val="true"/>
              </w:rPr>
              <w:t>ד רינת טוב כהן</w:t>
            </w:r>
          </w:p>
        </w:tc>
      </w:tr>
    </w:tbl>
    <w:p>
      <w:pPr>
        <w:pStyle w:val="Normal"/>
        <w:suppressLineNumbers/>
        <w:ind w:end="0"/>
        <w:jc w:val="start"/>
        <w:rPr>
          <w:rFonts w:ascii="David" w:hAnsi="David" w:cs="David"/>
        </w:rPr>
      </w:pPr>
      <w:r>
        <w:rPr>
          <w:rFonts w:cs="David" w:ascii="David" w:hAnsi="David"/>
          <w:rtl w:val="true"/>
        </w:rPr>
      </w:r>
    </w:p>
    <w:p>
      <w:pPr>
        <w:pStyle w:val="Ruller43"/>
        <w:numPr>
          <w:ilvl w:val="0"/>
          <w:numId w:val="14"/>
        </w:numPr>
        <w:spacing w:before="240" w:after="240"/>
        <w:ind w:hanging="510" w:start="510" w:end="0"/>
        <w:jc w:val="both"/>
        <w:rPr>
          <w:rFonts w:ascii="David" w:hAnsi="David" w:cs="David"/>
        </w:rPr>
      </w:pPr>
      <w:r>
        <w:rPr>
          <w:rFonts w:cs="David" w:ascii="David" w:hAnsi="David"/>
          <w:rtl w:val="true"/>
        </w:rPr>
      </w:r>
      <w:bookmarkStart w:id="2" w:name="NGCSBookmark"/>
      <w:bookmarkStart w:id="3" w:name="NGCSBookmark"/>
      <w:bookmarkEnd w:id="3"/>
    </w:p>
    <w:tbl>
      <w:tblPr>
        <w:bidiVisual w:val="true"/>
        <w:tblW w:w="8820" w:type="dxa"/>
        <w:jc w:val="center"/>
        <w:tblInd w:w="0" w:type="dxa"/>
        <w:tblLayout w:type="fixed"/>
        <w:tblCellMar>
          <w:top w:w="0" w:type="dxa"/>
          <w:start w:w="108" w:type="dxa"/>
          <w:bottom w:w="0" w:type="dxa"/>
          <w:end w:w="108" w:type="dxa"/>
        </w:tblCellMar>
      </w:tblPr>
      <w:tblGrid>
        <w:gridCol w:w="8820"/>
      </w:tblGrid>
      <w:tr>
        <w:trPr/>
        <w:tc>
          <w:tcPr>
            <w:tcW w:w="8820" w:type="dxa"/>
            <w:tcBorders/>
          </w:tcPr>
          <w:p>
            <w:pPr>
              <w:pStyle w:val="Normal"/>
              <w:bidi w:val="0"/>
              <w:snapToGrid w:val="false"/>
              <w:jc w:val="center"/>
              <w:rPr>
                <w:rFonts w:ascii="David" w:hAnsi="David" w:cs="David"/>
                <w:b/>
                <w:bCs/>
                <w:spacing w:val="40"/>
                <w:sz w:val="30"/>
                <w:szCs w:val="30"/>
              </w:rPr>
            </w:pPr>
            <w:r>
              <w:rPr>
                <w:rFonts w:cs="David" w:ascii="David" w:hAnsi="David"/>
                <w:b/>
                <w:bCs/>
                <w:spacing w:val="40"/>
                <w:sz w:val="30"/>
                <w:szCs w:val="30"/>
              </w:rPr>
            </w:r>
          </w:p>
          <w:p>
            <w:pPr>
              <w:pStyle w:val="Normal"/>
              <w:ind w:end="0"/>
              <w:jc w:val="center"/>
              <w:rPr>
                <w:rFonts w:ascii="David" w:hAnsi="David" w:cs="David"/>
                <w:b/>
                <w:bCs/>
                <w:spacing w:val="40"/>
                <w:sz w:val="30"/>
                <w:szCs w:val="30"/>
              </w:rPr>
            </w:pPr>
            <w:r>
              <w:rPr>
                <w:rFonts w:cs="David" w:ascii="David" w:hAnsi="David"/>
                <w:b/>
                <w:bCs/>
                <w:spacing w:val="40"/>
                <w:sz w:val="30"/>
                <w:szCs w:val="30"/>
                <w:rtl w:val="true"/>
              </w:rPr>
            </w:r>
            <w:bookmarkStart w:id="4" w:name="LawTable"/>
            <w:bookmarkStart w:id="5" w:name="LawTable"/>
            <w:bookmarkEnd w:id="5"/>
          </w:p>
          <w:p>
            <w:pPr>
              <w:pStyle w:val="Normal"/>
              <w:spacing w:lineRule="exact" w:line="240" w:before="120" w:after="120"/>
              <w:ind w:hanging="283" w:start="283" w:end="0"/>
              <w:jc w:val="both"/>
              <w:rPr>
                <w:rFonts w:ascii="FrankRuehl" w:hAnsi="FrankRuehl" w:cs="FrankRuehl"/>
                <w:spacing w:val="40"/>
                <w:sz w:val="30"/>
                <w:szCs w:val="30"/>
              </w:rPr>
            </w:pPr>
            <w:r>
              <w:rPr>
                <w:rFonts w:cs="FrankRuehl" w:ascii="FrankRuehl" w:hAnsi="FrankRuehl"/>
                <w:spacing w:val="40"/>
                <w:sz w:val="30"/>
                <w:szCs w:val="30"/>
                <w:rtl w:val="true"/>
              </w:rPr>
            </w:r>
          </w:p>
          <w:p>
            <w:pPr>
              <w:pStyle w:val="Normal"/>
              <w:spacing w:lineRule="exact" w:line="240" w:before="120" w:after="120"/>
              <w:ind w:hanging="283" w:start="283" w:end="0"/>
              <w:jc w:val="both"/>
              <w:rPr>
                <w:rFonts w:ascii="FrankRuehl" w:hAnsi="FrankRuehl" w:cs="FrankRuehl"/>
              </w:rPr>
            </w:pPr>
            <w:r>
              <w:rPr>
                <w:rFonts w:cs="FrankRuehl" w:ascii="FrankRuehl" w:hAnsi="FrankRuehl"/>
                <w:rtl w:val="true"/>
              </w:rPr>
            </w:r>
          </w:p>
          <w:p>
            <w:pPr>
              <w:pStyle w:val="Normal"/>
              <w:spacing w:lineRule="exact" w:line="240" w:before="120" w:after="120"/>
              <w:ind w:hanging="283" w:start="283" w:end="0"/>
              <w:jc w:val="both"/>
              <w:rPr>
                <w:rFonts w:ascii="FrankRuehl" w:hAnsi="FrankRuehl" w:cs="FrankRuehl"/>
              </w:rPr>
            </w:pPr>
            <w:r>
              <w:rPr>
                <w:rFonts w:ascii="FrankRuehl" w:hAnsi="FrankRuehl" w:cs="FrankRuehl"/>
                <w:rtl w:val="true"/>
              </w:rPr>
              <w:t>חקיקה שאוזכרה</w:t>
            </w:r>
            <w:r>
              <w:rPr>
                <w:rFonts w:cs="FrankRuehl" w:ascii="FrankRuehl" w:hAnsi="FrankRuehl"/>
                <w:rtl w:val="true"/>
              </w:rPr>
              <w:t xml:space="preserve">: </w:t>
            </w:r>
          </w:p>
          <w:p>
            <w:pPr>
              <w:pStyle w:val="Normal"/>
              <w:spacing w:lineRule="exact" w:line="240" w:before="120" w:after="120"/>
              <w:ind w:hanging="283" w:start="283" w:end="0"/>
              <w:jc w:val="both"/>
              <w:rPr>
                <w:rFonts w:ascii="FrankRuehl" w:hAnsi="FrankRuehl" w:cs="FrankRuehl"/>
              </w:rPr>
            </w:pPr>
            <w:hyperlink r:id="rId2">
              <w:r>
                <w:rPr>
                  <w:rStyle w:val="Hyperlink"/>
                  <w:rFonts w:ascii="FrankRuehl" w:hAnsi="FrankRuehl" w:cs="FrankRuehl"/>
                  <w:color w:val="0000FF"/>
                  <w:rtl w:val="true"/>
                </w:rPr>
                <w:t>חוק התכנון והבניה</w:t>
              </w:r>
              <w:r>
                <w:rPr>
                  <w:rStyle w:val="Hyperlink"/>
                  <w:rFonts w:cs="FrankRuehl" w:ascii="FrankRuehl" w:hAnsi="FrankRuehl"/>
                  <w:color w:val="0000FF"/>
                  <w:rtl w:val="true"/>
                </w:rPr>
                <w:t xml:space="preserve">, </w:t>
              </w:r>
              <w:r>
                <w:rPr>
                  <w:rStyle w:val="Hyperlink"/>
                  <w:rFonts w:ascii="FrankRuehl" w:hAnsi="FrankRuehl" w:cs="FrankRuehl"/>
                  <w:color w:val="0000FF"/>
                  <w:rtl w:val="true"/>
                </w:rPr>
                <w:t>תשכ</w:t>
              </w:r>
              <w:r>
                <w:rPr>
                  <w:rStyle w:val="Hyperlink"/>
                  <w:rFonts w:cs="FrankRuehl" w:ascii="FrankRuehl" w:hAnsi="FrankRuehl"/>
                  <w:color w:val="0000FF"/>
                  <w:rtl w:val="true"/>
                </w:rPr>
                <w:t>"</w:t>
              </w:r>
              <w:r>
                <w:rPr>
                  <w:rStyle w:val="Hyperlink"/>
                  <w:rFonts w:ascii="FrankRuehl" w:hAnsi="FrankRuehl" w:cs="FrankRuehl"/>
                  <w:color w:val="0000FF"/>
                  <w:rtl w:val="true"/>
                </w:rPr>
                <w:t>ה</w:t>
              </w:r>
              <w:r>
                <w:rPr>
                  <w:rStyle w:val="Hyperlink"/>
                  <w:rFonts w:cs="FrankRuehl" w:ascii="FrankRuehl" w:hAnsi="FrankRuehl"/>
                  <w:color w:val="0000FF"/>
                  <w:rtl w:val="true"/>
                </w:rPr>
                <w:t>-</w:t>
              </w:r>
              <w:r>
                <w:rPr>
                  <w:rStyle w:val="Hyperlink"/>
                  <w:rFonts w:cs="FrankRuehl" w:ascii="FrankRuehl" w:hAnsi="FrankRuehl"/>
                  <w:color w:val="0000FF"/>
                </w:rPr>
                <w:t>1965</w:t>
              </w:r>
            </w:hyperlink>
            <w:r>
              <w:rPr>
                <w:rFonts w:cs="FrankRuehl" w:ascii="FrankRuehl" w:hAnsi="FrankRuehl"/>
                <w:color w:val="0000FF"/>
                <w:rtl w:val="true"/>
              </w:rPr>
              <w:t xml:space="preserve">: </w:t>
            </w:r>
            <w:r>
              <w:rPr>
                <w:rFonts w:ascii="FrankRuehl" w:hAnsi="FrankRuehl" w:cs="FrankRuehl"/>
                <w:color w:val="0000FF"/>
                <w:rtl w:val="true"/>
              </w:rPr>
              <w:t>סע</w:t>
            </w:r>
            <w:r>
              <w:rPr>
                <w:rFonts w:cs="FrankRuehl" w:ascii="FrankRuehl" w:hAnsi="FrankRuehl"/>
                <w:color w:val="0000FF"/>
                <w:rtl w:val="true"/>
              </w:rPr>
              <w:t xml:space="preserve">'  </w:t>
            </w:r>
            <w:r>
              <w:rPr>
                <w:rFonts w:cs="FrankRuehl" w:ascii="FrankRuehl" w:hAnsi="FrankRuehl"/>
                <w:color w:val="0000FF"/>
              </w:rPr>
              <w:t>19</w:t>
            </w:r>
            <w:r>
              <w:rPr>
                <w:rFonts w:cs="FrankRuehl" w:ascii="FrankRuehl" w:hAnsi="FrankRuehl"/>
                <w:color w:val="0000FF"/>
                <w:rtl w:val="true"/>
              </w:rPr>
              <w:t>(</w:t>
            </w:r>
            <w:r>
              <w:rPr>
                <w:rFonts w:ascii="FrankRuehl" w:hAnsi="FrankRuehl" w:cs="FrankRuehl"/>
                <w:color w:val="0000FF"/>
                <w:rtl w:val="true"/>
              </w:rPr>
              <w:t>ב</w:t>
            </w:r>
            <w:r>
              <w:rPr>
                <w:rFonts w:cs="FrankRuehl" w:ascii="FrankRuehl" w:hAnsi="FrankRuehl"/>
                <w:color w:val="0000FF"/>
                <w:rtl w:val="true"/>
              </w:rPr>
              <w:t>)(</w:t>
            </w:r>
            <w:r>
              <w:rPr>
                <w:rFonts w:cs="FrankRuehl" w:ascii="FrankRuehl" w:hAnsi="FrankRuehl"/>
                <w:color w:val="0000FF"/>
              </w:rPr>
              <w:t>9</w:t>
            </w:r>
            <w:r>
              <w:rPr>
                <w:rFonts w:cs="FrankRuehl" w:ascii="FrankRuehl" w:hAnsi="FrankRuehl"/>
                <w:color w:val="0000FF"/>
                <w:rtl w:val="true"/>
              </w:rPr>
              <w:t xml:space="preserve">) </w:t>
            </w:r>
            <w:r>
              <w:rPr>
                <w:rFonts w:ascii="FrankRuehl" w:hAnsi="FrankRuehl" w:cs="FrankRuehl"/>
                <w:color w:val="0000FF"/>
                <w:rtl w:val="true"/>
              </w:rPr>
              <w:t>לתוספת השלישית</w:t>
            </w:r>
          </w:p>
          <w:p>
            <w:pPr>
              <w:pStyle w:val="Normal"/>
              <w:spacing w:lineRule="exact" w:line="240" w:before="120" w:after="120"/>
              <w:ind w:hanging="283" w:start="283" w:end="0"/>
              <w:jc w:val="both"/>
              <w:rPr>
                <w:rFonts w:ascii="FrankRuehl" w:hAnsi="FrankRuehl" w:cs="FrankRuehl"/>
              </w:rPr>
            </w:pPr>
            <w:hyperlink r:id="rId3">
              <w:r>
                <w:rPr>
                  <w:rStyle w:val="Hyperlink"/>
                  <w:rFonts w:ascii="FrankRuehl" w:hAnsi="FrankRuehl" w:cs="FrankRuehl"/>
                  <w:color w:val="0000FF"/>
                  <w:rtl w:val="true"/>
                </w:rPr>
                <w:t>חוק ההתגוננות האזרחית</w:t>
              </w:r>
              <w:r>
                <w:rPr>
                  <w:rStyle w:val="Hyperlink"/>
                  <w:rFonts w:cs="FrankRuehl" w:ascii="FrankRuehl" w:hAnsi="FrankRuehl"/>
                  <w:color w:val="0000FF"/>
                  <w:rtl w:val="true"/>
                </w:rPr>
                <w:t xml:space="preserve">, </w:t>
              </w:r>
              <w:r>
                <w:rPr>
                  <w:rStyle w:val="Hyperlink"/>
                  <w:rFonts w:ascii="FrankRuehl" w:hAnsi="FrankRuehl" w:cs="FrankRuehl"/>
                  <w:color w:val="0000FF"/>
                  <w:rtl w:val="true"/>
                </w:rPr>
                <w:t>תשי</w:t>
              </w:r>
              <w:r>
                <w:rPr>
                  <w:rStyle w:val="Hyperlink"/>
                  <w:rFonts w:cs="FrankRuehl" w:ascii="FrankRuehl" w:hAnsi="FrankRuehl"/>
                  <w:color w:val="0000FF"/>
                  <w:rtl w:val="true"/>
                </w:rPr>
                <w:t>"</w:t>
              </w:r>
              <w:r>
                <w:rPr>
                  <w:rStyle w:val="Hyperlink"/>
                  <w:rFonts w:ascii="FrankRuehl" w:hAnsi="FrankRuehl" w:cs="FrankRuehl"/>
                  <w:color w:val="0000FF"/>
                  <w:rtl w:val="true"/>
                </w:rPr>
                <w:t>א</w:t>
              </w:r>
              <w:r>
                <w:rPr>
                  <w:rStyle w:val="Hyperlink"/>
                  <w:rFonts w:cs="FrankRuehl" w:ascii="FrankRuehl" w:hAnsi="FrankRuehl"/>
                  <w:color w:val="0000FF"/>
                  <w:rtl w:val="true"/>
                </w:rPr>
                <w:t>-</w:t>
              </w:r>
              <w:r>
                <w:rPr>
                  <w:rStyle w:val="Hyperlink"/>
                  <w:rFonts w:cs="FrankRuehl" w:ascii="FrankRuehl" w:hAnsi="FrankRuehl"/>
                  <w:color w:val="0000FF"/>
                </w:rPr>
                <w:t>1951</w:t>
              </w:r>
            </w:hyperlink>
          </w:p>
          <w:p>
            <w:pPr>
              <w:pStyle w:val="Normal"/>
              <w:spacing w:lineRule="exact" w:line="240" w:before="120" w:after="120"/>
              <w:ind w:hanging="283" w:start="283" w:end="0"/>
              <w:jc w:val="both"/>
              <w:rPr>
                <w:rFonts w:ascii="FrankRuehl" w:hAnsi="FrankRuehl" w:cs="FrankRuehl"/>
              </w:rPr>
            </w:pPr>
            <w:hyperlink r:id="rId4">
              <w:r>
                <w:rPr>
                  <w:rStyle w:val="Hyperlink"/>
                  <w:rFonts w:ascii="FrankRuehl" w:hAnsi="FrankRuehl" w:cs="FrankRuehl"/>
                  <w:color w:val="0000FF"/>
                  <w:rtl w:val="true"/>
                </w:rPr>
                <w:t xml:space="preserve">חוק מיסוי מקרקעין </w:t>
              </w:r>
              <w:r>
                <w:rPr>
                  <w:rStyle w:val="Hyperlink"/>
                  <w:rFonts w:cs="FrankRuehl" w:ascii="FrankRuehl" w:hAnsi="FrankRuehl"/>
                  <w:color w:val="0000FF"/>
                  <w:rtl w:val="true"/>
                </w:rPr>
                <w:t>(</w:t>
              </w:r>
              <w:r>
                <w:rPr>
                  <w:rStyle w:val="Hyperlink"/>
                  <w:rFonts w:ascii="FrankRuehl" w:hAnsi="FrankRuehl" w:cs="FrankRuehl"/>
                  <w:color w:val="0000FF"/>
                  <w:rtl w:val="true"/>
                </w:rPr>
                <w:t>שבח ורכישה</w:t>
              </w:r>
              <w:r>
                <w:rPr>
                  <w:rStyle w:val="Hyperlink"/>
                  <w:rFonts w:cs="FrankRuehl" w:ascii="FrankRuehl" w:hAnsi="FrankRuehl"/>
                  <w:color w:val="0000FF"/>
                  <w:rtl w:val="true"/>
                </w:rPr>
                <w:t xml:space="preserve">), </w:t>
              </w:r>
              <w:r>
                <w:rPr>
                  <w:rStyle w:val="Hyperlink"/>
                  <w:rFonts w:ascii="FrankRuehl" w:hAnsi="FrankRuehl" w:cs="FrankRuehl"/>
                  <w:color w:val="0000FF"/>
                  <w:rtl w:val="true"/>
                </w:rPr>
                <w:t>תשכ</w:t>
              </w:r>
              <w:r>
                <w:rPr>
                  <w:rStyle w:val="Hyperlink"/>
                  <w:rFonts w:cs="FrankRuehl" w:ascii="FrankRuehl" w:hAnsi="FrankRuehl"/>
                  <w:color w:val="0000FF"/>
                  <w:rtl w:val="true"/>
                </w:rPr>
                <w:t>"</w:t>
              </w:r>
              <w:r>
                <w:rPr>
                  <w:rStyle w:val="Hyperlink"/>
                  <w:rFonts w:ascii="FrankRuehl" w:hAnsi="FrankRuehl" w:cs="FrankRuehl"/>
                  <w:color w:val="0000FF"/>
                  <w:rtl w:val="true"/>
                </w:rPr>
                <w:t>ג</w:t>
              </w:r>
              <w:r>
                <w:rPr>
                  <w:rStyle w:val="Hyperlink"/>
                  <w:rFonts w:cs="FrankRuehl" w:ascii="FrankRuehl" w:hAnsi="FrankRuehl"/>
                  <w:color w:val="0000FF"/>
                  <w:rtl w:val="true"/>
                </w:rPr>
                <w:t>-</w:t>
              </w:r>
              <w:r>
                <w:rPr>
                  <w:rStyle w:val="Hyperlink"/>
                  <w:rFonts w:cs="FrankRuehl" w:ascii="FrankRuehl" w:hAnsi="FrankRuehl"/>
                  <w:color w:val="0000FF"/>
                </w:rPr>
                <w:t>1963</w:t>
              </w:r>
            </w:hyperlink>
            <w:r>
              <w:rPr>
                <w:rFonts w:cs="FrankRuehl" w:ascii="FrankRuehl" w:hAnsi="FrankRuehl"/>
                <w:color w:val="0000FF"/>
                <w:rtl w:val="true"/>
              </w:rPr>
              <w:t xml:space="preserve">: </w:t>
            </w:r>
            <w:r>
              <w:rPr>
                <w:rFonts w:ascii="FrankRuehl" w:hAnsi="FrankRuehl" w:cs="FrankRuehl"/>
                <w:color w:val="0000FF"/>
                <w:rtl w:val="true"/>
              </w:rPr>
              <w:t>סע</w:t>
            </w:r>
            <w:r>
              <w:rPr>
                <w:rFonts w:cs="FrankRuehl" w:ascii="FrankRuehl" w:hAnsi="FrankRuehl"/>
                <w:color w:val="0000FF"/>
                <w:rtl w:val="true"/>
              </w:rPr>
              <w:t xml:space="preserve">'  </w:t>
            </w:r>
            <w:r>
              <w:rPr>
                <w:rFonts w:cs="FrankRuehl" w:ascii="FrankRuehl" w:hAnsi="FrankRuehl"/>
                <w:color w:val="0000FF"/>
              </w:rPr>
              <w:t>19</w:t>
            </w:r>
            <w:r>
              <w:rPr>
                <w:rFonts w:cs="FrankRuehl" w:ascii="FrankRuehl" w:hAnsi="FrankRuehl"/>
                <w:color w:val="0000FF"/>
                <w:rtl w:val="true"/>
              </w:rPr>
              <w:t>(</w:t>
            </w:r>
            <w:r>
              <w:rPr>
                <w:rFonts w:cs="FrankRuehl" w:ascii="FrankRuehl" w:hAnsi="FrankRuehl"/>
                <w:color w:val="0000FF"/>
              </w:rPr>
              <w:t>3</w:t>
            </w:r>
            <w:r>
              <w:rPr>
                <w:rFonts w:ascii="FrankRuehl" w:hAnsi="FrankRuehl" w:cs="FrankRuehl"/>
                <w:color w:val="0000FF"/>
                <w:rtl w:val="true"/>
              </w:rPr>
              <w:t>א</w:t>
            </w:r>
            <w:r>
              <w:rPr>
                <w:rFonts w:cs="FrankRuehl" w:ascii="FrankRuehl" w:hAnsi="FrankRuehl"/>
                <w:color w:val="0000FF"/>
                <w:rtl w:val="true"/>
              </w:rPr>
              <w:t xml:space="preserve">), </w:t>
            </w:r>
            <w:r>
              <w:rPr>
                <w:rFonts w:cs="FrankRuehl" w:ascii="FrankRuehl" w:hAnsi="FrankRuehl"/>
                <w:color w:val="0000FF"/>
              </w:rPr>
              <w:t>49</w:t>
            </w:r>
            <w:r>
              <w:rPr>
                <w:rFonts w:ascii="FrankRuehl" w:hAnsi="FrankRuehl" w:cs="FrankRuehl"/>
                <w:color w:val="0000FF"/>
                <w:rtl w:val="true"/>
              </w:rPr>
              <w:t>כ</w:t>
            </w:r>
          </w:p>
          <w:p>
            <w:pPr>
              <w:pStyle w:val="Normal"/>
              <w:ind w:end="0"/>
              <w:jc w:val="center"/>
              <w:rPr>
                <w:rFonts w:ascii="David" w:hAnsi="David" w:cs="David"/>
                <w:spacing w:val="40"/>
                <w:sz w:val="30"/>
                <w:szCs w:val="30"/>
              </w:rPr>
            </w:pPr>
            <w:r>
              <w:rPr>
                <w:rFonts w:cs="David" w:ascii="David" w:hAnsi="David"/>
                <w:spacing w:val="40"/>
                <w:sz w:val="30"/>
                <w:szCs w:val="30"/>
                <w:rtl w:val="true"/>
              </w:rPr>
            </w:r>
            <w:bookmarkStart w:id="6" w:name="LawTable_End"/>
            <w:bookmarkStart w:id="7" w:name="LawTable_End"/>
            <w:bookmarkEnd w:id="7"/>
          </w:p>
          <w:p>
            <w:pPr>
              <w:pStyle w:val="Normal"/>
              <w:bidi w:val="0"/>
              <w:jc w:val="center"/>
              <w:rPr>
                <w:rFonts w:ascii="David" w:hAnsi="David" w:cs="David"/>
                <w:b/>
                <w:bCs/>
                <w:spacing w:val="40"/>
                <w:sz w:val="30"/>
                <w:szCs w:val="30"/>
                <w:u w:val="single"/>
              </w:rPr>
            </w:pPr>
            <w:bookmarkStart w:id="8" w:name="PsakDin"/>
            <w:r>
              <w:rPr>
                <w:rFonts w:ascii="David" w:hAnsi="David"/>
                <w:b/>
                <w:b/>
                <w:bCs/>
                <w:spacing w:val="40"/>
                <w:sz w:val="30"/>
                <w:sz w:val="30"/>
                <w:szCs w:val="30"/>
                <w:u w:val="single"/>
                <w:rtl w:val="true"/>
              </w:rPr>
              <w:t>החלטה</w:t>
            </w:r>
            <w:bookmarkEnd w:id="8"/>
          </w:p>
          <w:p>
            <w:pPr>
              <w:pStyle w:val="Normal"/>
              <w:bidi w:val="0"/>
              <w:jc w:val="center"/>
              <w:rPr>
                <w:rFonts w:ascii="David" w:hAnsi="David" w:cs="David"/>
                <w:b/>
                <w:bCs/>
                <w:spacing w:val="40"/>
                <w:sz w:val="30"/>
                <w:szCs w:val="30"/>
                <w:u w:val="single"/>
              </w:rPr>
            </w:pPr>
            <w:r>
              <w:rPr>
                <w:rFonts w:cs="David" w:ascii="David" w:hAnsi="David"/>
                <w:b/>
                <w:bCs/>
                <w:spacing w:val="40"/>
                <w:sz w:val="30"/>
                <w:szCs w:val="30"/>
                <w:u w:val="single"/>
              </w:rPr>
            </w:r>
          </w:p>
        </w:tc>
      </w:tr>
    </w:tbl>
    <w:p>
      <w:pPr>
        <w:pStyle w:val="Ruller43"/>
        <w:numPr>
          <w:ilvl w:val="0"/>
          <w:numId w:val="14"/>
        </w:numPr>
        <w:spacing w:before="240" w:after="240"/>
        <w:ind w:hanging="510" w:start="510" w:end="0"/>
        <w:jc w:val="both"/>
        <w:rPr>
          <w:rFonts w:ascii="David" w:hAnsi="David" w:cs="David"/>
        </w:rPr>
      </w:pPr>
      <w:bookmarkStart w:id="9" w:name="ABSTRACT_START"/>
      <w:bookmarkEnd w:id="9"/>
      <w:r>
        <w:rPr>
          <w:rFonts w:ascii="David" w:hAnsi="David" w:cs="David"/>
          <w:rtl w:val="true"/>
        </w:rPr>
        <w:t xml:space="preserve">לפנינו עררים על שומות מכריעות שעניינן היטל השבחה החל בקשר למקרקעין הידועים כחלקות </w:t>
      </w:r>
      <w:r>
        <w:rPr>
          <w:rFonts w:cs="David" w:ascii="David" w:hAnsi="David"/>
        </w:rPr>
        <w:t>30-25</w:t>
      </w:r>
      <w:r>
        <w:rPr>
          <w:rFonts w:cs="David" w:ascii="David" w:hAnsi="David"/>
          <w:rtl w:val="true"/>
        </w:rPr>
        <w:t xml:space="preserve"> </w:t>
      </w:r>
      <w:r>
        <w:rPr>
          <w:rFonts w:ascii="David" w:hAnsi="David" w:cs="David"/>
          <w:rtl w:val="true"/>
        </w:rPr>
        <w:t xml:space="preserve">בגוש </w:t>
      </w:r>
      <w:r>
        <w:rPr>
          <w:rFonts w:cs="David" w:ascii="David" w:hAnsi="David"/>
        </w:rPr>
        <w:t>7944</w:t>
      </w:r>
      <w:r>
        <w:rPr>
          <w:rFonts w:cs="David" w:ascii="David" w:hAnsi="David"/>
          <w:rtl w:val="true"/>
        </w:rPr>
        <w:t xml:space="preserve">, </w:t>
      </w:r>
      <w:r>
        <w:rPr>
          <w:rFonts w:ascii="David" w:hAnsi="David" w:cs="David"/>
          <w:rtl w:val="true"/>
        </w:rPr>
        <w:t xml:space="preserve">מתחם פינוי ובינוי </w:t>
      </w:r>
      <w:r>
        <w:rPr>
          <w:rFonts w:cs="David" w:ascii="David" w:hAnsi="David"/>
          <w:rtl w:val="true"/>
        </w:rPr>
        <w:t>"</w:t>
      </w:r>
      <w:r>
        <w:rPr>
          <w:rFonts w:ascii="David" w:hAnsi="David" w:cs="David"/>
          <w:rtl w:val="true"/>
        </w:rPr>
        <w:t>נורדאו מקס</w:t>
      </w:r>
      <w:r>
        <w:rPr>
          <w:rFonts w:cs="David" w:ascii="David" w:hAnsi="David"/>
          <w:rtl w:val="true"/>
        </w:rPr>
        <w:t xml:space="preserve">" </w:t>
      </w:r>
      <w:r>
        <w:rPr>
          <w:rFonts w:ascii="David" w:hAnsi="David" w:cs="David"/>
          <w:rtl w:val="true"/>
        </w:rPr>
        <w:t>בעיר נתניה</w:t>
      </w:r>
      <w:r>
        <w:rPr>
          <w:rFonts w:cs="David" w:ascii="David" w:hAnsi="David"/>
          <w:rtl w:val="true"/>
        </w:rPr>
        <w:t xml:space="preserve">, </w:t>
      </w:r>
      <w:r>
        <w:rPr>
          <w:rFonts w:ascii="David" w:hAnsi="David" w:cs="David"/>
          <w:rtl w:val="true"/>
        </w:rPr>
        <w:t xml:space="preserve">עקב אישורה של תוכנית </w:t>
      </w:r>
      <w:r>
        <w:rPr>
          <w:rFonts w:cs="David" w:ascii="David" w:hAnsi="David"/>
        </w:rPr>
        <w:t>408-0517458</w:t>
      </w:r>
      <w:r>
        <w:rPr>
          <w:rFonts w:cs="David" w:ascii="David" w:hAnsi="David"/>
          <w:rtl w:val="true"/>
        </w:rPr>
        <w:t xml:space="preserve"> </w:t>
      </w:r>
      <w:r>
        <w:rPr>
          <w:rFonts w:ascii="David" w:hAnsi="David" w:cs="David"/>
          <w:rtl w:val="true"/>
        </w:rPr>
        <w:t>התחדשות עירונית</w:t>
      </w:r>
      <w:r>
        <w:rPr>
          <w:rFonts w:cs="David" w:ascii="David" w:hAnsi="David"/>
          <w:rtl w:val="true"/>
        </w:rPr>
        <w:t xml:space="preserve">, </w:t>
      </w:r>
      <w:r>
        <w:rPr>
          <w:rFonts w:ascii="David" w:hAnsi="David" w:cs="David"/>
          <w:rtl w:val="true"/>
        </w:rPr>
        <w:t>נתניה</w:t>
      </w:r>
      <w:r>
        <w:rPr>
          <w:rFonts w:cs="David" w:ascii="David" w:hAnsi="David"/>
          <w:rtl w:val="true"/>
        </w:rPr>
        <w:t xml:space="preserve">, </w:t>
      </w:r>
      <w:r>
        <w:rPr>
          <w:rFonts w:ascii="David" w:hAnsi="David" w:cs="David"/>
          <w:rtl w:val="true"/>
        </w:rPr>
        <w:t>נת</w:t>
      </w:r>
      <w:r>
        <w:rPr>
          <w:rFonts w:cs="David" w:ascii="David" w:hAnsi="David"/>
          <w:rtl w:val="true"/>
        </w:rPr>
        <w:t>/</w:t>
      </w:r>
      <w:r>
        <w:rPr>
          <w:rFonts w:ascii="David" w:hAnsi="David" w:cs="David"/>
          <w:rtl w:val="true"/>
        </w:rPr>
        <w:t>מק</w:t>
      </w:r>
      <w:r>
        <w:rPr>
          <w:rFonts w:cs="David" w:ascii="David" w:hAnsi="David"/>
          <w:rtl w:val="true"/>
        </w:rPr>
        <w:t>/</w:t>
      </w:r>
      <w:r>
        <w:rPr>
          <w:rFonts w:cs="David" w:ascii="David" w:hAnsi="David"/>
        </w:rPr>
        <w:t>18/401</w:t>
      </w:r>
      <w:r>
        <w:rPr>
          <w:rFonts w:cs="David" w:ascii="David" w:hAnsi="David"/>
          <w:rtl w:val="true"/>
        </w:rPr>
        <w:t>/</w:t>
      </w:r>
      <w:r>
        <w:rPr>
          <w:rFonts w:ascii="David" w:hAnsi="David" w:cs="David"/>
          <w:rtl w:val="true"/>
        </w:rPr>
        <w:t xml:space="preserve">ב </w:t>
      </w:r>
      <w:r>
        <w:rPr>
          <w:rFonts w:cs="David" w:ascii="David" w:hAnsi="David"/>
          <w:rtl w:val="true"/>
        </w:rPr>
        <w:t>(</w:t>
      </w:r>
      <w:r>
        <w:rPr>
          <w:rFonts w:cs="David" w:ascii="David" w:hAnsi="David"/>
        </w:rPr>
        <w:t>2022</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המתחם</w:t>
      </w:r>
      <w:r>
        <w:rPr>
          <w:rFonts w:cs="David" w:ascii="David" w:hAnsi="David"/>
          <w:rtl w:val="true"/>
        </w:rPr>
        <w:t xml:space="preserve">" </w:t>
      </w:r>
      <w:r>
        <w:rPr>
          <w:rFonts w:ascii="David" w:hAnsi="David" w:cs="David"/>
          <w:rtl w:val="true"/>
        </w:rPr>
        <w:t xml:space="preserve">או </w:t>
      </w:r>
      <w:r>
        <w:rPr>
          <w:rFonts w:cs="David" w:ascii="David" w:hAnsi="David"/>
          <w:rtl w:val="true"/>
        </w:rPr>
        <w:t>"</w:t>
      </w:r>
      <w:r>
        <w:rPr>
          <w:rFonts w:ascii="Miriam" w:hAnsi="Miriam" w:cs="Miriam"/>
          <w:rtl w:val="true"/>
        </w:rPr>
        <w:t>התוכנית</w:t>
      </w:r>
      <w:r>
        <w:rPr>
          <w:rFonts w:cs="David" w:ascii="David" w:hAnsi="David"/>
          <w:rtl w:val="true"/>
        </w:rPr>
        <w:t>").</w:t>
      </w:r>
      <w:bookmarkStart w:id="10" w:name="ABSTRACT_END"/>
      <w:bookmarkEnd w:id="10"/>
    </w:p>
    <w:p>
      <w:pPr>
        <w:pStyle w:val="Heading1"/>
        <w:suppressLineNumbers/>
        <w:spacing w:before="240" w:after="240"/>
        <w:ind w:firstLine="510" w:end="0"/>
        <w:jc w:val="start"/>
        <w:rPr/>
      </w:pPr>
      <w:r>
        <w:rPr>
          <w:rtl w:val="true"/>
        </w:rPr>
        <w:t>עובדות המקרה</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התוכנית קודמה על ידי י</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דמרי בניה ופיתוח בע</w:t>
      </w:r>
      <w:r>
        <w:rPr>
          <w:rFonts w:cs="David" w:ascii="David" w:hAnsi="David"/>
          <w:rtl w:val="true"/>
        </w:rPr>
        <w:t>"</w:t>
      </w:r>
      <w:r>
        <w:rPr>
          <w:rFonts w:ascii="David" w:hAnsi="David" w:cs="David"/>
          <w:rtl w:val="true"/>
        </w:rPr>
        <w:t>מ ואח</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דמרי</w:t>
      </w:r>
      <w:r>
        <w:rPr>
          <w:rFonts w:cs="David" w:ascii="David" w:hAnsi="David"/>
          <w:rtl w:val="true"/>
        </w:rPr>
        <w:t xml:space="preserve">"), </w:t>
      </w:r>
      <w:r>
        <w:rPr>
          <w:rFonts w:ascii="David" w:hAnsi="David" w:cs="David"/>
          <w:rtl w:val="true"/>
        </w:rPr>
        <w:t xml:space="preserve">היא העוררת בעררים </w:t>
      </w:r>
      <w:r>
        <w:rPr>
          <w:rFonts w:cs="David" w:ascii="David" w:hAnsi="David"/>
        </w:rPr>
        <w:t>8069-8074/0925</w:t>
      </w:r>
      <w:r>
        <w:rPr>
          <w:rFonts w:cs="David" w:ascii="David" w:hAnsi="David"/>
          <w:rtl w:val="true"/>
        </w:rPr>
        <w:t xml:space="preserve">, </w:t>
      </w:r>
      <w:r>
        <w:rPr>
          <w:rFonts w:ascii="David" w:hAnsi="David" w:cs="David"/>
          <w:rtl w:val="true"/>
        </w:rPr>
        <w:t>ומטרתה היא הקמת שלושה מגדלים המשמשים למגורים ומסחר</w:t>
      </w:r>
      <w:r>
        <w:rPr>
          <w:rFonts w:cs="David" w:ascii="David" w:hAnsi="David"/>
          <w:rtl w:val="true"/>
        </w:rPr>
        <w:t xml:space="preserve">, </w:t>
      </w:r>
      <w:r>
        <w:rPr>
          <w:rFonts w:ascii="David" w:hAnsi="David" w:cs="David"/>
          <w:rtl w:val="true"/>
        </w:rPr>
        <w:t xml:space="preserve">הכוללים </w:t>
      </w:r>
      <w:r>
        <w:rPr>
          <w:rFonts w:cs="David" w:ascii="David" w:hAnsi="David"/>
        </w:rPr>
        <w:t>553</w:t>
      </w:r>
      <w:r>
        <w:rPr>
          <w:rFonts w:cs="David" w:ascii="David" w:hAnsi="David"/>
          <w:rtl w:val="true"/>
        </w:rPr>
        <w:t xml:space="preserve"> </w:t>
      </w:r>
      <w:r>
        <w:rPr>
          <w:rFonts w:ascii="David" w:hAnsi="David" w:cs="David"/>
          <w:rtl w:val="true"/>
        </w:rPr>
        <w:t>יחידות דיור</w:t>
      </w:r>
      <w:r>
        <w:rPr>
          <w:rFonts w:cs="David" w:ascii="David" w:hAnsi="David"/>
          <w:rtl w:val="true"/>
        </w:rPr>
        <w:t xml:space="preserve">, </w:t>
      </w:r>
      <w:r>
        <w:rPr>
          <w:rFonts w:ascii="David" w:hAnsi="David" w:cs="David"/>
          <w:rtl w:val="true"/>
        </w:rPr>
        <w:t xml:space="preserve">חלף שבעה מבני רכבת ישנים שבהם </w:t>
      </w:r>
      <w:r>
        <w:rPr>
          <w:rFonts w:cs="David" w:ascii="David" w:hAnsi="David"/>
        </w:rPr>
        <w:t>138</w:t>
      </w:r>
      <w:r>
        <w:rPr>
          <w:rFonts w:cs="David" w:ascii="David" w:hAnsi="David"/>
          <w:rtl w:val="true"/>
        </w:rPr>
        <w:t xml:space="preserve"> </w:t>
      </w:r>
      <w:r>
        <w:rPr>
          <w:rFonts w:ascii="David" w:hAnsi="David" w:cs="David"/>
          <w:rtl w:val="true"/>
        </w:rPr>
        <w:t>יחידות דיור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התוכנית היא בסמכותה של הוועדה המקומית לתכנון ובנייה נתניה </w:t>
      </w:r>
      <w:r>
        <w:rPr>
          <w:rFonts w:cs="David" w:ascii="David" w:hAnsi="David"/>
          <w:rtl w:val="true"/>
        </w:rPr>
        <w:t>(</w:t>
      </w:r>
      <w:r>
        <w:rPr>
          <w:rFonts w:ascii="David" w:hAnsi="David" w:cs="David"/>
          <w:rtl w:val="true"/>
        </w:rPr>
        <w:t>להלן</w:t>
      </w:r>
      <w:r>
        <w:rPr>
          <w:rFonts w:cs="David" w:ascii="David" w:hAnsi="David"/>
          <w:rtl w:val="true"/>
        </w:rPr>
        <w:t xml:space="preserve">: </w:t>
      </w:r>
      <w:r>
        <w:rPr>
          <w:rFonts w:ascii="Miriam" w:hAnsi="Miriam" w:cs="Miriam"/>
          <w:rtl w:val="true"/>
        </w:rPr>
        <w:t>הוועדה המקומית</w:t>
      </w:r>
      <w:r>
        <w:rPr>
          <w:rFonts w:cs="David" w:ascii="David" w:hAnsi="David"/>
          <w:rtl w:val="true"/>
        </w:rPr>
        <w:t xml:space="preserve">), </w:t>
      </w:r>
      <w:r>
        <w:rPr>
          <w:rFonts w:ascii="David" w:hAnsi="David" w:cs="David"/>
          <w:rtl w:val="true"/>
        </w:rPr>
        <w:t xml:space="preserve">היא העוררת בעררים </w:t>
      </w:r>
      <w:r>
        <w:rPr>
          <w:rFonts w:cs="David"/>
          <w:sz w:val="28"/>
        </w:rPr>
        <w:t>8059-64/25</w:t>
      </w:r>
      <w:r>
        <w:rPr>
          <w:rFonts w:cs="David"/>
          <w:sz w:val="28"/>
          <w:rtl w:val="true"/>
        </w:rPr>
        <w:t xml:space="preserve">, </w:t>
      </w:r>
      <w:r>
        <w:rPr>
          <w:rFonts w:cs="David"/>
          <w:sz w:val="28"/>
          <w:sz w:val="28"/>
          <w:rtl w:val="true"/>
        </w:rPr>
        <w:t>שמעמדה</w:t>
      </w:r>
      <w:r>
        <w:rPr>
          <w:rFonts w:eastAsia="Arial TUR" w:cs="Arial TUR"/>
          <w:sz w:val="28"/>
          <w:sz w:val="28"/>
          <w:rtl w:val="true"/>
        </w:rPr>
        <w:t xml:space="preserve"> </w:t>
      </w:r>
      <w:r>
        <w:rPr>
          <w:rFonts w:cs="David"/>
          <w:sz w:val="28"/>
          <w:sz w:val="28"/>
          <w:rtl w:val="true"/>
        </w:rPr>
        <w:t>הוא</w:t>
      </w:r>
      <w:r>
        <w:rPr>
          <w:rFonts w:eastAsia="Arial TUR" w:cs="Arial TUR"/>
          <w:sz w:val="28"/>
          <w:sz w:val="28"/>
          <w:rtl w:val="true"/>
        </w:rPr>
        <w:t xml:space="preserve"> </w:t>
      </w:r>
      <w:r>
        <w:rPr>
          <w:rFonts w:cs="David"/>
          <w:sz w:val="28"/>
          <w:rtl w:val="true"/>
        </w:rPr>
        <w:t>"</w:t>
      </w:r>
      <w:r>
        <w:rPr>
          <w:rFonts w:cs="David"/>
          <w:sz w:val="28"/>
          <w:sz w:val="28"/>
          <w:rtl w:val="true"/>
        </w:rPr>
        <w:t>ועדה</w:t>
      </w:r>
      <w:r>
        <w:rPr>
          <w:rFonts w:eastAsia="Arial TUR" w:cs="Arial TUR"/>
          <w:sz w:val="28"/>
          <w:sz w:val="28"/>
          <w:rtl w:val="true"/>
        </w:rPr>
        <w:t xml:space="preserve"> </w:t>
      </w:r>
      <w:r>
        <w:rPr>
          <w:rFonts w:cs="David"/>
          <w:sz w:val="28"/>
          <w:sz w:val="28"/>
          <w:rtl w:val="true"/>
        </w:rPr>
        <w:t>עצמאית</w:t>
      </w:r>
      <w:r>
        <w:rPr>
          <w:rFonts w:eastAsia="Arial TUR" w:cs="Arial TUR"/>
          <w:sz w:val="28"/>
          <w:sz w:val="28"/>
          <w:rtl w:val="true"/>
        </w:rPr>
        <w:t xml:space="preserve"> </w:t>
      </w:r>
      <w:r>
        <w:rPr>
          <w:rFonts w:cs="David"/>
          <w:sz w:val="28"/>
          <w:sz w:val="28"/>
          <w:rtl w:val="true"/>
        </w:rPr>
        <w:t>מיוחדת</w:t>
      </w:r>
      <w:r>
        <w:rPr>
          <w:rFonts w:cs="David"/>
          <w:sz w:val="28"/>
          <w:rtl w:val="true"/>
        </w:rPr>
        <w:t xml:space="preserve">" </w:t>
      </w:r>
      <w:r>
        <w:rPr>
          <w:rFonts w:cs="David"/>
          <w:sz w:val="28"/>
          <w:sz w:val="28"/>
          <w:rtl w:val="true"/>
        </w:rPr>
        <w:t>לעניין</w:t>
      </w:r>
      <w:r>
        <w:rPr>
          <w:rFonts w:eastAsia="Arial TUR" w:cs="Arial TUR"/>
          <w:sz w:val="28"/>
          <w:sz w:val="28"/>
          <w:rtl w:val="true"/>
        </w:rPr>
        <w:t xml:space="preserve"> </w:t>
      </w:r>
      <w:hyperlink r:id="rId5">
        <w:r>
          <w:rPr>
            <w:rStyle w:val="Hyperlink"/>
            <w:rFonts w:cs="David"/>
            <w:color w:val="0000FF"/>
            <w:sz w:val="28"/>
            <w:sz w:val="28"/>
            <w:u w:val="single"/>
            <w:rtl w:val="true"/>
          </w:rPr>
          <w:t>חוק</w:t>
        </w:r>
        <w:r>
          <w:rPr>
            <w:rStyle w:val="Hyperlink"/>
            <w:rFonts w:eastAsia="Arial TUR" w:cs="Arial TUR"/>
            <w:color w:val="0000FF"/>
            <w:sz w:val="28"/>
            <w:sz w:val="28"/>
            <w:u w:val="single"/>
            <w:rtl w:val="true"/>
          </w:rPr>
          <w:t xml:space="preserve"> </w:t>
        </w:r>
        <w:r>
          <w:rPr>
            <w:rStyle w:val="Hyperlink"/>
            <w:rFonts w:cs="David"/>
            <w:color w:val="0000FF"/>
            <w:sz w:val="28"/>
            <w:sz w:val="28"/>
            <w:u w:val="single"/>
            <w:rtl w:val="true"/>
          </w:rPr>
          <w:t>התכנון</w:t>
        </w:r>
        <w:r>
          <w:rPr>
            <w:rStyle w:val="Hyperlink"/>
            <w:rFonts w:eastAsia="Arial TUR" w:cs="Arial TUR"/>
            <w:color w:val="0000FF"/>
            <w:sz w:val="28"/>
            <w:sz w:val="28"/>
            <w:u w:val="single"/>
            <w:rtl w:val="true"/>
          </w:rPr>
          <w:t xml:space="preserve"> </w:t>
        </w:r>
        <w:r>
          <w:rPr>
            <w:rStyle w:val="Hyperlink"/>
            <w:rFonts w:cs="David"/>
            <w:color w:val="0000FF"/>
            <w:sz w:val="28"/>
            <w:sz w:val="28"/>
            <w:u w:val="single"/>
            <w:rtl w:val="true"/>
          </w:rPr>
          <w:t>והבניה</w:t>
        </w:r>
      </w:hyperlink>
      <w:r>
        <w:rPr>
          <w:rFonts w:cs="David"/>
          <w:sz w:val="28"/>
          <w:rtl w:val="true"/>
        </w:rPr>
        <w:t xml:space="preserve">, </w:t>
      </w:r>
      <w:r>
        <w:rPr>
          <w:rFonts w:cs="David"/>
          <w:sz w:val="28"/>
          <w:sz w:val="28"/>
          <w:rtl w:val="true"/>
        </w:rPr>
        <w:t>תשכ</w:t>
      </w:r>
      <w:r>
        <w:rPr>
          <w:rFonts w:cs="David"/>
          <w:sz w:val="28"/>
          <w:rtl w:val="true"/>
        </w:rPr>
        <w:t>"</w:t>
      </w:r>
      <w:r>
        <w:rPr>
          <w:rFonts w:cs="David"/>
          <w:sz w:val="28"/>
          <w:sz w:val="28"/>
          <w:rtl w:val="true"/>
        </w:rPr>
        <w:t>ה</w:t>
      </w:r>
      <w:r>
        <w:rPr>
          <w:rFonts w:cs="David"/>
          <w:sz w:val="28"/>
          <w:rtl w:val="true"/>
        </w:rPr>
        <w:t>-</w:t>
      </w:r>
      <w:r>
        <w:rPr>
          <w:rFonts w:cs="David"/>
          <w:sz w:val="28"/>
        </w:rPr>
        <w:t>1965</w:t>
      </w:r>
      <w:r>
        <w:rPr>
          <w:rFonts w:cs="David"/>
          <w:sz w:val="28"/>
          <w:rtl w:val="true"/>
        </w:rPr>
        <w:t xml:space="preserve"> (</w:t>
      </w:r>
      <w:r>
        <w:rPr>
          <w:rFonts w:cs="David"/>
          <w:sz w:val="28"/>
          <w:sz w:val="28"/>
          <w:rtl w:val="true"/>
        </w:rPr>
        <w:t>להלן</w:t>
      </w:r>
      <w:r>
        <w:rPr>
          <w:rFonts w:cs="David"/>
          <w:sz w:val="28"/>
          <w:rtl w:val="true"/>
        </w:rPr>
        <w:t xml:space="preserve">: </w:t>
      </w:r>
      <w:hyperlink r:id="rId6">
        <w:r>
          <w:rPr>
            <w:rStyle w:val="Hyperlink"/>
            <w:rFonts w:ascii="Miriam" w:hAnsi="Miriam" w:cs="Miriam"/>
            <w:color w:val="0000FF"/>
            <w:sz w:val="28"/>
            <w:sz w:val="28"/>
            <w:u w:val="single"/>
            <w:rtl w:val="true"/>
          </w:rPr>
          <w:t>חוק התכנון והבנייה</w:t>
        </w:r>
      </w:hyperlink>
      <w:r>
        <w:rPr>
          <w:rFonts w:cs="David"/>
          <w:sz w:val="28"/>
          <w:rtl w:val="true"/>
        </w:rPr>
        <w:t xml:space="preserve">), </w:t>
      </w:r>
      <w:r>
        <w:rPr>
          <w:rFonts w:cs="David"/>
          <w:sz w:val="28"/>
          <w:sz w:val="28"/>
          <w:rtl w:val="true"/>
        </w:rPr>
        <w:t>והיא</w:t>
      </w:r>
      <w:r>
        <w:rPr>
          <w:rFonts w:eastAsia="Arial TUR" w:cs="Arial TUR"/>
          <w:sz w:val="28"/>
          <w:sz w:val="28"/>
          <w:rtl w:val="true"/>
        </w:rPr>
        <w:t xml:space="preserve"> </w:t>
      </w:r>
      <w:r>
        <w:rPr>
          <w:rFonts w:ascii="David" w:hAnsi="David" w:cs="David"/>
          <w:rtl w:val="true"/>
        </w:rPr>
        <w:t>לוותה בדו</w:t>
      </w:r>
      <w:r>
        <w:rPr>
          <w:rFonts w:cs="David" w:ascii="David" w:hAnsi="David"/>
          <w:rtl w:val="true"/>
        </w:rPr>
        <w:t>"</w:t>
      </w:r>
      <w:r>
        <w:rPr>
          <w:rFonts w:ascii="David" w:hAnsi="David" w:cs="David"/>
          <w:rtl w:val="true"/>
        </w:rPr>
        <w:t xml:space="preserve">ח כלכלי הנושא תאריך </w:t>
      </w:r>
      <w:r>
        <w:rPr>
          <w:rFonts w:cs="David" w:ascii="David" w:hAnsi="David"/>
        </w:rPr>
        <w:t>19.9.2021</w:t>
      </w:r>
      <w:r>
        <w:rPr>
          <w:rFonts w:cs="David" w:ascii="David" w:hAnsi="David"/>
          <w:rtl w:val="true"/>
        </w:rPr>
        <w:t xml:space="preserve">, </w:t>
      </w:r>
      <w:r>
        <w:rPr>
          <w:rFonts w:ascii="David" w:hAnsi="David" w:cs="David"/>
          <w:rtl w:val="true"/>
        </w:rPr>
        <w:t xml:space="preserve">שנערך בהתאם לעקרונות תקן </w:t>
      </w:r>
      <w:r>
        <w:rPr>
          <w:rFonts w:cs="David" w:ascii="David" w:hAnsi="David"/>
        </w:rPr>
        <w:t>21</w:t>
      </w:r>
      <w:r>
        <w:rPr>
          <w:rFonts w:cs="David" w:ascii="David" w:hAnsi="David"/>
          <w:rtl w:val="true"/>
        </w:rPr>
        <w:t>, "</w:t>
      </w:r>
      <w:r>
        <w:rPr>
          <w:rFonts w:ascii="David" w:hAnsi="David" w:cs="David"/>
          <w:rtl w:val="true"/>
        </w:rPr>
        <w:t>פירוט מזערי נדרש בשומות מקרקעין המבוצעות לצורך בדיקה שמאית כלכלית לתוכנית פינוי</w:t>
      </w:r>
      <w:r>
        <w:rPr>
          <w:rFonts w:cs="David" w:ascii="David" w:hAnsi="David"/>
          <w:rtl w:val="true"/>
        </w:rPr>
        <w:t>-</w:t>
      </w:r>
      <w:r>
        <w:rPr>
          <w:rFonts w:ascii="David" w:hAnsi="David" w:cs="David"/>
          <w:rtl w:val="true"/>
        </w:rPr>
        <w:t>בינוי</w:t>
      </w:r>
      <w:r>
        <w:rPr>
          <w:rFonts w:cs="David" w:ascii="David" w:hAnsi="David"/>
          <w:rtl w:val="true"/>
        </w:rPr>
        <w:t>" (</w:t>
      </w:r>
      <w:r>
        <w:rPr>
          <w:rFonts w:cs="David" w:ascii="David" w:hAnsi="David"/>
        </w:rPr>
        <w:t>2012</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 xml:space="preserve">תקן </w:t>
      </w:r>
      <w:r>
        <w:rPr>
          <w:rFonts w:cs="Miriam" w:ascii="Miriam" w:hAnsi="Miriam"/>
        </w:rPr>
        <w:t>21</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הדו</w:t>
      </w:r>
      <w:r>
        <w:rPr>
          <w:rFonts w:cs="Miriam" w:ascii="Miriam" w:hAnsi="Miriam"/>
          <w:rtl w:val="true"/>
        </w:rPr>
        <w:t>"</w:t>
      </w:r>
      <w:r>
        <w:rPr>
          <w:rFonts w:ascii="Miriam" w:hAnsi="Miriam" w:cs="Miriam"/>
          <w:rtl w:val="true"/>
        </w:rPr>
        <w:t>ח הכלכלי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בדו</w:t>
      </w:r>
      <w:r>
        <w:rPr>
          <w:rFonts w:cs="David" w:ascii="David" w:hAnsi="David"/>
          <w:rtl w:val="true"/>
        </w:rPr>
        <w:t>"</w:t>
      </w:r>
      <w:r>
        <w:rPr>
          <w:rFonts w:ascii="David" w:hAnsi="David" w:cs="David"/>
          <w:rtl w:val="true"/>
        </w:rPr>
        <w:t xml:space="preserve">ח זה הוערך הרווח הצפוי במיזם בשיעור של </w:t>
      </w:r>
      <w:r>
        <w:rPr>
          <w:rFonts w:cs="David" w:ascii="David" w:hAnsi="David"/>
        </w:rPr>
        <w:t>17%</w:t>
      </w:r>
      <w:r>
        <w:rPr>
          <w:rFonts w:cs="David" w:ascii="David" w:hAnsi="David"/>
          <w:rtl w:val="true"/>
        </w:rPr>
        <w:t xml:space="preserve">, </w:t>
      </w:r>
      <w:r>
        <w:rPr>
          <w:rFonts w:ascii="David" w:hAnsi="David" w:cs="David"/>
          <w:rtl w:val="true"/>
        </w:rPr>
        <w:t>זאת בהתחשב בעלויות מימוש התוכנית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בד בבד עם קידומו של ההליך התכנוני</w:t>
      </w:r>
      <w:r>
        <w:rPr>
          <w:rFonts w:cs="David" w:ascii="David" w:hAnsi="David"/>
          <w:rtl w:val="true"/>
        </w:rPr>
        <w:t xml:space="preserve">, </w:t>
      </w:r>
      <w:r>
        <w:rPr>
          <w:rFonts w:ascii="David" w:hAnsi="David" w:cs="David"/>
          <w:rtl w:val="true"/>
        </w:rPr>
        <w:t>התקשרה דמרי בהסכמים עם בעלי הזכויות במתחם</w:t>
      </w:r>
      <w:r>
        <w:rPr>
          <w:rFonts w:cs="David" w:ascii="David" w:hAnsi="David"/>
          <w:rtl w:val="true"/>
        </w:rPr>
        <w:t xml:space="preserve">. </w:t>
      </w:r>
      <w:r>
        <w:rPr>
          <w:rFonts w:ascii="David" w:hAnsi="David" w:cs="David"/>
          <w:rtl w:val="true"/>
        </w:rPr>
        <w:t xml:space="preserve">התקשרויות אלה החלו כבר בשנת </w:t>
      </w:r>
      <w:r>
        <w:rPr>
          <w:rFonts w:cs="David" w:ascii="David" w:hAnsi="David"/>
        </w:rPr>
        <w:t>2019</w:t>
      </w:r>
      <w:r>
        <w:rPr>
          <w:rFonts w:cs="David" w:ascii="David" w:hAnsi="David"/>
          <w:rtl w:val="true"/>
        </w:rPr>
        <w:t xml:space="preserve">. </w:t>
      </w:r>
      <w:r>
        <w:rPr>
          <w:rFonts w:ascii="David" w:hAnsi="David" w:cs="David"/>
          <w:rtl w:val="true"/>
        </w:rPr>
        <w:t>על פי הנספח החברתי לתוכנית</w:t>
      </w:r>
      <w:r>
        <w:rPr>
          <w:rFonts w:cs="David" w:ascii="David" w:hAnsi="David"/>
          <w:rtl w:val="true"/>
        </w:rPr>
        <w:t xml:space="preserve">, </w:t>
      </w:r>
      <w:r>
        <w:rPr>
          <w:rFonts w:ascii="David" w:hAnsi="David" w:cs="David"/>
          <w:rtl w:val="true"/>
        </w:rPr>
        <w:t xml:space="preserve">בחודש ינואר </w:t>
      </w:r>
      <w:r>
        <w:rPr>
          <w:rFonts w:cs="David" w:ascii="David" w:hAnsi="David"/>
        </w:rPr>
        <w:t>2021</w:t>
      </w:r>
      <w:r>
        <w:rPr>
          <w:rFonts w:cs="David" w:ascii="David" w:hAnsi="David"/>
          <w:rtl w:val="true"/>
        </w:rPr>
        <w:t xml:space="preserve"> </w:t>
      </w:r>
      <w:r>
        <w:rPr>
          <w:rFonts w:ascii="David" w:hAnsi="David" w:cs="David"/>
          <w:rtl w:val="true"/>
        </w:rPr>
        <w:t xml:space="preserve">עמד שיעור בעלי הזכויות שהתקשרו עם דמרי על </w:t>
      </w:r>
      <w:r>
        <w:rPr>
          <w:rFonts w:cs="David" w:ascii="David" w:hAnsi="David"/>
        </w:rPr>
        <w:t>75%</w:t>
      </w:r>
      <w:r>
        <w:rPr>
          <w:rFonts w:cs="David" w:ascii="David" w:hAnsi="David"/>
          <w:rtl w:val="true"/>
        </w:rPr>
        <w:t xml:space="preserve">, </w:t>
      </w:r>
      <w:r>
        <w:rPr>
          <w:rFonts w:ascii="David" w:hAnsi="David" w:cs="David"/>
          <w:rtl w:val="true"/>
        </w:rPr>
        <w:t xml:space="preserve">ואילו במועד כניסתה של התוכנית לתוקף עלה שיעור זה על </w:t>
      </w:r>
      <w:r>
        <w:rPr>
          <w:rFonts w:cs="David" w:ascii="David" w:hAnsi="David"/>
        </w:rPr>
        <w:t>80%</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לאחר אישורה של התוכנית בוצעו במתחם שתי עסקאות מכר</w:t>
      </w:r>
      <w:r>
        <w:rPr>
          <w:rFonts w:cs="David" w:ascii="David" w:hAnsi="David"/>
          <w:rtl w:val="true"/>
        </w:rPr>
        <w:t xml:space="preserve">. </w:t>
      </w:r>
      <w:r>
        <w:rPr>
          <w:rFonts w:ascii="David" w:hAnsi="David" w:cs="David"/>
          <w:rtl w:val="true"/>
        </w:rPr>
        <w:t xml:space="preserve">האחת היא עסקה שנערכה ביום </w:t>
      </w:r>
      <w:r>
        <w:rPr>
          <w:rFonts w:cs="David" w:ascii="David" w:hAnsi="David"/>
        </w:rPr>
        <w:t>2.2.2023</w:t>
      </w:r>
      <w:r>
        <w:rPr>
          <w:rFonts w:cs="David" w:ascii="David" w:hAnsi="David"/>
          <w:rtl w:val="true"/>
        </w:rPr>
        <w:t xml:space="preserve"> </w:t>
      </w:r>
      <w:r>
        <w:rPr>
          <w:rFonts w:ascii="David" w:hAnsi="David" w:cs="David"/>
          <w:rtl w:val="true"/>
        </w:rPr>
        <w:t>בתת</w:t>
      </w:r>
      <w:r>
        <w:rPr>
          <w:rFonts w:cs="David" w:ascii="David" w:hAnsi="David"/>
          <w:rtl w:val="true"/>
        </w:rPr>
        <w:t>-</w:t>
      </w:r>
      <w:r>
        <w:rPr>
          <w:rFonts w:ascii="David" w:hAnsi="David" w:cs="David"/>
          <w:rtl w:val="true"/>
        </w:rPr>
        <w:t xml:space="preserve">חלקה </w:t>
      </w:r>
      <w:r>
        <w:rPr>
          <w:rFonts w:cs="David" w:ascii="David" w:hAnsi="David"/>
        </w:rPr>
        <w:t>14</w:t>
      </w:r>
      <w:r>
        <w:rPr>
          <w:rFonts w:cs="David" w:ascii="David" w:hAnsi="David"/>
          <w:rtl w:val="true"/>
        </w:rPr>
        <w:t xml:space="preserve"> </w:t>
      </w:r>
      <w:r>
        <w:rPr>
          <w:rFonts w:ascii="David" w:hAnsi="David" w:cs="David"/>
          <w:rtl w:val="true"/>
        </w:rPr>
        <w:t xml:space="preserve">בחלקה </w:t>
      </w:r>
      <w:r>
        <w:rPr>
          <w:rFonts w:cs="David" w:ascii="David" w:hAnsi="David"/>
        </w:rPr>
        <w:t>26</w:t>
      </w:r>
      <w:r>
        <w:rPr>
          <w:rFonts w:cs="David" w:ascii="David" w:hAnsi="David"/>
          <w:rtl w:val="true"/>
        </w:rPr>
        <w:t xml:space="preserve">, </w:t>
      </w:r>
      <w:r>
        <w:rPr>
          <w:rFonts w:ascii="David" w:hAnsi="David" w:cs="David"/>
          <w:rtl w:val="true"/>
        </w:rPr>
        <w:t>לפיה נמכרה דירת מגורים בתמורה ל</w:t>
      </w:r>
      <w:r>
        <w:rPr>
          <w:rFonts w:cs="David" w:ascii="David" w:hAnsi="David"/>
          <w:rtl w:val="true"/>
        </w:rPr>
        <w:t>-</w:t>
      </w:r>
      <w:r>
        <w:rPr>
          <w:rFonts w:cs="David" w:ascii="David" w:hAnsi="David"/>
        </w:rPr>
        <w:t>1,700,000</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 xml:space="preserve">והשניה היא עסקה שנערכה ביום </w:t>
      </w:r>
      <w:r>
        <w:rPr>
          <w:rFonts w:cs="David" w:ascii="David" w:hAnsi="David"/>
        </w:rPr>
        <w:t>16.1.2023</w:t>
      </w:r>
      <w:r>
        <w:rPr>
          <w:rFonts w:cs="David" w:ascii="David" w:hAnsi="David"/>
          <w:rtl w:val="true"/>
        </w:rPr>
        <w:t xml:space="preserve"> </w:t>
      </w:r>
      <w:r>
        <w:rPr>
          <w:rFonts w:ascii="David" w:hAnsi="David" w:cs="David"/>
          <w:rtl w:val="true"/>
        </w:rPr>
        <w:t>בתת</w:t>
      </w:r>
      <w:r>
        <w:rPr>
          <w:rFonts w:cs="David" w:ascii="David" w:hAnsi="David"/>
          <w:rtl w:val="true"/>
        </w:rPr>
        <w:t>-</w:t>
      </w:r>
      <w:r>
        <w:rPr>
          <w:rFonts w:ascii="David" w:hAnsi="David" w:cs="David"/>
          <w:rtl w:val="true"/>
        </w:rPr>
        <w:t xml:space="preserve">חלקה </w:t>
      </w:r>
      <w:r>
        <w:rPr>
          <w:rFonts w:cs="David" w:ascii="David" w:hAnsi="David"/>
        </w:rPr>
        <w:t>6</w:t>
      </w:r>
      <w:r>
        <w:rPr>
          <w:rFonts w:cs="David" w:ascii="David" w:hAnsi="David"/>
          <w:rtl w:val="true"/>
        </w:rPr>
        <w:t xml:space="preserve"> </w:t>
      </w:r>
      <w:r>
        <w:rPr>
          <w:rFonts w:ascii="David" w:hAnsi="David" w:cs="David"/>
          <w:rtl w:val="true"/>
        </w:rPr>
        <w:t xml:space="preserve">בחלקה </w:t>
      </w:r>
      <w:r>
        <w:rPr>
          <w:rFonts w:cs="David" w:ascii="David" w:hAnsi="David"/>
        </w:rPr>
        <w:t>28</w:t>
      </w:r>
      <w:r>
        <w:rPr>
          <w:rFonts w:cs="David" w:ascii="David" w:hAnsi="David"/>
          <w:rtl w:val="true"/>
        </w:rPr>
        <w:t xml:space="preserve">, </w:t>
      </w:r>
      <w:r>
        <w:rPr>
          <w:rFonts w:ascii="David" w:hAnsi="David" w:cs="David"/>
          <w:rtl w:val="true"/>
        </w:rPr>
        <w:t>לפיה נמכרה דירת מגורים בתמורה ל</w:t>
      </w:r>
      <w:r>
        <w:rPr>
          <w:rFonts w:cs="David" w:ascii="David" w:hAnsi="David"/>
          <w:rtl w:val="true"/>
        </w:rPr>
        <w:t>-</w:t>
      </w:r>
      <w:r>
        <w:rPr>
          <w:rFonts w:cs="David" w:ascii="David" w:hAnsi="David"/>
        </w:rPr>
        <w:t>1,500,000</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במקביל לכך</w:t>
      </w:r>
      <w:r>
        <w:rPr>
          <w:rFonts w:cs="David" w:ascii="David" w:hAnsi="David"/>
          <w:rtl w:val="true"/>
        </w:rPr>
        <w:t xml:space="preserve">, </w:t>
      </w:r>
      <w:r>
        <w:rPr>
          <w:rFonts w:ascii="David" w:hAnsi="David" w:cs="David"/>
          <w:rtl w:val="true"/>
        </w:rPr>
        <w:t>פעלה דמרי למימוש התוכנית בדרך של הגשת מספר בקשות להיתרי בנייה</w:t>
      </w:r>
      <w:r>
        <w:rPr>
          <w:rFonts w:cs="David" w:ascii="David" w:hAnsi="David"/>
          <w:rtl w:val="true"/>
        </w:rPr>
        <w:t xml:space="preserve">. </w:t>
      </w:r>
      <w:r>
        <w:rPr>
          <w:rFonts w:ascii="David" w:hAnsi="David" w:cs="David"/>
          <w:rtl w:val="true"/>
        </w:rPr>
        <w:t>תחילה הוגשו בקשות להיתרי חפירה ודיפון</w:t>
      </w:r>
      <w:r>
        <w:rPr>
          <w:rFonts w:cs="David" w:ascii="David" w:hAnsi="David"/>
          <w:rtl w:val="true"/>
        </w:rPr>
        <w:t xml:space="preserve">, </w:t>
      </w:r>
      <w:r>
        <w:rPr>
          <w:rFonts w:ascii="David" w:hAnsi="David" w:cs="David"/>
          <w:rtl w:val="true"/>
        </w:rPr>
        <w:t xml:space="preserve">אשר אושרו באופן עקרוני בסוף שנת </w:t>
      </w:r>
      <w:r>
        <w:rPr>
          <w:rFonts w:cs="David" w:ascii="David" w:hAnsi="David"/>
        </w:rPr>
        <w:t>2023</w:t>
      </w:r>
      <w:r>
        <w:rPr>
          <w:rFonts w:cs="David" w:ascii="David" w:hAnsi="David"/>
          <w:rtl w:val="true"/>
        </w:rPr>
        <w:t xml:space="preserve">. </w:t>
      </w:r>
      <w:r>
        <w:rPr>
          <w:rFonts w:ascii="David" w:hAnsi="David" w:cs="David"/>
          <w:rtl w:val="true"/>
        </w:rPr>
        <w:t>בהמשך</w:t>
      </w:r>
      <w:r>
        <w:rPr>
          <w:rFonts w:cs="David" w:ascii="David" w:hAnsi="David"/>
          <w:rtl w:val="true"/>
        </w:rPr>
        <w:t xml:space="preserve">, </w:t>
      </w:r>
      <w:r>
        <w:rPr>
          <w:rFonts w:ascii="David" w:hAnsi="David" w:cs="David"/>
          <w:rtl w:val="true"/>
        </w:rPr>
        <w:t xml:space="preserve">בשנת </w:t>
      </w:r>
      <w:r>
        <w:rPr>
          <w:rFonts w:cs="David" w:ascii="David" w:hAnsi="David"/>
        </w:rPr>
        <w:t>2025</w:t>
      </w:r>
      <w:r>
        <w:rPr>
          <w:rFonts w:cs="David" w:ascii="David" w:hAnsi="David"/>
          <w:rtl w:val="true"/>
        </w:rPr>
        <w:t xml:space="preserve">, </w:t>
      </w:r>
      <w:r>
        <w:rPr>
          <w:rFonts w:ascii="David" w:hAnsi="David" w:cs="David"/>
          <w:rtl w:val="true"/>
        </w:rPr>
        <w:t>הוגשו בקשות להיתרי בנייה למימוש זכויות הבנייה מכוח התוכנית</w:t>
      </w:r>
      <w:r>
        <w:rPr>
          <w:rFonts w:cs="David" w:ascii="David" w:hAnsi="David"/>
          <w:rtl w:val="true"/>
        </w:rPr>
        <w:t xml:space="preserve">, </w:t>
      </w:r>
      <w:r>
        <w:rPr>
          <w:rFonts w:ascii="David" w:hAnsi="David" w:cs="David"/>
          <w:rtl w:val="true"/>
        </w:rPr>
        <w:t>ואף הן אושרו באופן עקרוני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color w:val="FFFFFF"/>
          <w:sz w:val="2"/>
          <w:sz w:val="2"/>
          <w:szCs w:val="2"/>
          <w:rtl w:val="true"/>
        </w:rPr>
        <w:t xml:space="preserve">ההתיישבות העותומנית </w:t>
      </w:r>
      <w:r>
        <w:rPr>
          <w:rFonts w:cs="David" w:ascii="David" w:hAnsi="David"/>
          <w:color w:val="FFFFFF"/>
          <w:sz w:val="2"/>
          <w:szCs w:val="2"/>
          <w:rtl w:val="true"/>
        </w:rPr>
        <w:t>[</w:t>
      </w:r>
      <w:r>
        <w:rPr>
          <w:rFonts w:ascii="David" w:hAnsi="David" w:cs="David"/>
          <w:color w:val="FFFFFF"/>
          <w:sz w:val="2"/>
          <w:sz w:val="2"/>
          <w:szCs w:val="2"/>
          <w:rtl w:val="true"/>
        </w:rPr>
        <w:t>נוסח ישן</w:t>
      </w:r>
      <w:r>
        <w:rPr>
          <w:rFonts w:cs="David" w:ascii="David" w:hAnsi="David"/>
          <w:color w:val="FFFFFF"/>
          <w:sz w:val="2"/>
          <w:szCs w:val="2"/>
          <w:rtl w:val="true"/>
        </w:rPr>
        <w:t xml:space="preserve">] </w:t>
      </w:r>
      <w:r>
        <w:rPr>
          <w:rFonts w:cs="David" w:ascii="David" w:hAnsi="David"/>
          <w:color w:val="FFFFFF"/>
          <w:sz w:val="2"/>
          <w:szCs w:val="2"/>
        </w:rPr>
        <w:t>1916</w:t>
      </w:r>
      <w:r>
        <w:rPr>
          <w:rFonts w:ascii="David" w:hAnsi="David" w:cs="David"/>
          <w:rtl w:val="true"/>
        </w:rPr>
        <w:t>על רקע זה</w:t>
      </w:r>
      <w:r>
        <w:rPr>
          <w:rFonts w:cs="David" w:ascii="David" w:hAnsi="David"/>
          <w:rtl w:val="true"/>
        </w:rPr>
        <w:t xml:space="preserve">, </w:t>
      </w:r>
      <w:r>
        <w:rPr>
          <w:rFonts w:ascii="David" w:hAnsi="David" w:cs="David"/>
          <w:rtl w:val="true"/>
        </w:rPr>
        <w:t>הוועדה המקומית הפיקה לדמרי שש שומות היטל השבחה</w:t>
      </w:r>
      <w:r>
        <w:rPr>
          <w:rFonts w:cs="David" w:ascii="David" w:hAnsi="David"/>
          <w:rtl w:val="true"/>
        </w:rPr>
        <w:t xml:space="preserve">, </w:t>
      </w:r>
      <w:r>
        <w:rPr>
          <w:rFonts w:ascii="David" w:hAnsi="David" w:cs="David"/>
          <w:rtl w:val="true"/>
        </w:rPr>
        <w:t xml:space="preserve">בהן העריכה את ההשבחה שחלה כתוצאה מהתוכנית בשיעור של </w:t>
      </w:r>
      <w:r>
        <w:rPr>
          <w:rFonts w:cs="David" w:ascii="David" w:hAnsi="David"/>
        </w:rPr>
        <w:t>187,559,939</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w:t>
      </w:r>
    </w:p>
    <w:p>
      <w:pPr>
        <w:sectPr>
          <w:headerReference w:type="default" r:id="rId7"/>
          <w:footerReference w:type="default" r:id="rId8"/>
          <w:type w:val="nextPage"/>
          <w:pgSz w:w="11906" w:h="16838"/>
          <w:pgMar w:left="1797" w:right="1797" w:gutter="0" w:header="720" w:top="1701" w:footer="510" w:bottom="1440"/>
          <w:pgNumType w:start="1" w:fmt="decimal"/>
          <w:formProt w:val="false"/>
          <w:textDirection w:val="lrTb"/>
          <w:bidi/>
          <w:rtlGutter/>
          <w:docGrid w:type="default" w:linePitch="360" w:charSpace="0"/>
        </w:sectPr>
        <w:pStyle w:val="Ruller43"/>
        <w:numPr>
          <w:ilvl w:val="0"/>
          <w:numId w:val="14"/>
        </w:numPr>
        <w:spacing w:before="240" w:after="240"/>
        <w:ind w:hanging="510" w:start="510" w:end="0"/>
        <w:jc w:val="both"/>
        <w:rPr>
          <w:rFonts w:ascii="David" w:hAnsi="David" w:cs="David"/>
          <w:color w:val="FFFFFF"/>
          <w:sz w:val="2"/>
          <w:szCs w:val="2"/>
        </w:rPr>
      </w:pPr>
      <w:r>
        <w:rPr>
          <w:rFonts w:cs="David" w:ascii="David" w:hAnsi="David"/>
          <w:color w:val="FFFFFF"/>
          <w:sz w:val="2"/>
          <w:szCs w:val="2"/>
        </w:rPr>
        <w:t>12-34-56-78</w:t>
      </w:r>
      <w:r>
        <w:rPr>
          <w:rFonts w:cs="David" w:ascii="David" w:hAnsi="David"/>
          <w:color w:val="FFFFFF"/>
          <w:sz w:val="2"/>
          <w:szCs w:val="2"/>
          <w:rtl w:val="true"/>
        </w:rPr>
        <w:t xml:space="preserve"> </w:t>
      </w:r>
      <w:r>
        <w:rPr>
          <w:rFonts w:ascii="David" w:hAnsi="David" w:cs="David"/>
          <w:color w:val="FFFFFF"/>
          <w:sz w:val="2"/>
          <w:sz w:val="2"/>
          <w:szCs w:val="2"/>
          <w:rtl w:val="true"/>
        </w:rPr>
        <w:t>צ</w:t>
      </w:r>
      <w:r>
        <w:rPr>
          <w:rFonts w:cs="David" w:ascii="David" w:hAnsi="David"/>
          <w:color w:val="FFFFFF"/>
          <w:sz w:val="2"/>
          <w:szCs w:val="2"/>
          <w:rtl w:val="true"/>
        </w:rPr>
        <w:t>'</w:t>
      </w:r>
      <w:r>
        <w:rPr>
          <w:rFonts w:ascii="David" w:hAnsi="David" w:cs="David"/>
          <w:color w:val="FFFFFF"/>
          <w:sz w:val="2"/>
          <w:sz w:val="2"/>
          <w:szCs w:val="2"/>
          <w:rtl w:val="true"/>
        </w:rPr>
        <w:t>כוב נ</w:t>
      </w:r>
      <w:r>
        <w:rPr>
          <w:rFonts w:cs="David" w:ascii="David" w:hAnsi="David"/>
          <w:color w:val="FFFFFF"/>
          <w:sz w:val="2"/>
          <w:szCs w:val="2"/>
          <w:rtl w:val="true"/>
        </w:rPr>
        <w:t xml:space="preserve">' </w:t>
      </w:r>
      <w:r>
        <w:rPr>
          <w:rFonts w:ascii="David" w:hAnsi="David" w:cs="David"/>
          <w:color w:val="FFFFFF"/>
          <w:sz w:val="2"/>
          <w:sz w:val="2"/>
          <w:szCs w:val="2"/>
          <w:rtl w:val="true"/>
        </w:rPr>
        <w:t>מדינת ישראל</w:t>
      </w:r>
      <w:r>
        <w:rPr>
          <w:rFonts w:cs="David" w:ascii="David" w:hAnsi="David"/>
          <w:color w:val="FFFFFF"/>
          <w:sz w:val="2"/>
          <w:szCs w:val="2"/>
          <w:rtl w:val="true"/>
        </w:rPr>
        <w:t xml:space="preserve">, </w:t>
      </w:r>
      <w:r>
        <w:rPr>
          <w:rFonts w:ascii="David" w:hAnsi="David" w:cs="David"/>
          <w:color w:val="FFFFFF"/>
          <w:sz w:val="2"/>
          <w:sz w:val="2"/>
          <w:szCs w:val="2"/>
          <w:rtl w:val="true"/>
        </w:rPr>
        <w:t>פ</w:t>
      </w:r>
      <w:r>
        <w:rPr>
          <w:rFonts w:cs="David" w:ascii="David" w:hAnsi="David"/>
          <w:color w:val="FFFFFF"/>
          <w:sz w:val="2"/>
          <w:szCs w:val="2"/>
          <w:rtl w:val="true"/>
        </w:rPr>
        <w:t>'</w:t>
      </w:r>
      <w:r>
        <w:rPr>
          <w:rFonts w:ascii="David" w:hAnsi="David" w:cs="David"/>
          <w:color w:val="FFFFFF"/>
          <w:sz w:val="2"/>
          <w:sz w:val="2"/>
          <w:szCs w:val="2"/>
          <w:rtl w:val="true"/>
        </w:rPr>
        <w:t xml:space="preserve">ד נא </w:t>
      </w:r>
      <w:r>
        <w:rPr>
          <w:rFonts w:cs="David" w:ascii="David" w:hAnsi="David"/>
          <w:color w:val="FFFFFF"/>
          <w:sz w:val="2"/>
          <w:szCs w:val="2"/>
          <w:rtl w:val="true"/>
        </w:rPr>
        <w:t>(</w:t>
      </w:r>
      <w:r>
        <w:rPr>
          <w:rFonts w:cs="David" w:ascii="David" w:hAnsi="David"/>
          <w:color w:val="FFFFFF"/>
          <w:sz w:val="2"/>
          <w:szCs w:val="2"/>
        </w:rPr>
        <w:t>2</w:t>
      </w:r>
      <w:r>
        <w:rPr>
          <w:rFonts w:cs="David" w:ascii="David" w:hAnsi="David"/>
          <w:color w:val="FFFFFF"/>
          <w:sz w:val="2"/>
          <w:szCs w:val="2"/>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נוסף על כך</w:t>
      </w:r>
      <w:r>
        <w:rPr>
          <w:rFonts w:cs="David" w:ascii="David" w:hAnsi="David"/>
          <w:rtl w:val="true"/>
        </w:rPr>
        <w:t xml:space="preserve">, </w:t>
      </w:r>
      <w:r>
        <w:rPr>
          <w:rFonts w:ascii="David" w:hAnsi="David" w:cs="David"/>
          <w:rtl w:val="true"/>
        </w:rPr>
        <w:t xml:space="preserve">הוועדה המקומית הפיקה שתי שומות השבחה נוספות בהן נבחנה ההשבחה שחלה בחלקות </w:t>
      </w:r>
      <w:r>
        <w:rPr>
          <w:rFonts w:cs="David" w:ascii="David" w:hAnsi="David"/>
        </w:rPr>
        <w:t>26</w:t>
      </w:r>
      <w:r>
        <w:rPr>
          <w:rFonts w:cs="David" w:ascii="David" w:hAnsi="David"/>
          <w:rtl w:val="true"/>
        </w:rPr>
        <w:t xml:space="preserve"> </w:t>
      </w:r>
      <w:r>
        <w:rPr>
          <w:rFonts w:ascii="David" w:hAnsi="David" w:cs="David"/>
          <w:rtl w:val="true"/>
        </w:rPr>
        <w:t>ו</w:t>
      </w:r>
      <w:r>
        <w:rPr>
          <w:rFonts w:cs="David" w:ascii="David" w:hAnsi="David"/>
          <w:rtl w:val="true"/>
        </w:rPr>
        <w:t>-</w:t>
      </w:r>
      <w:r>
        <w:rPr>
          <w:rFonts w:cs="David" w:ascii="David" w:hAnsi="David"/>
        </w:rPr>
        <w:t>28</w:t>
      </w:r>
      <w:r>
        <w:rPr>
          <w:rFonts w:cs="David" w:ascii="David" w:hAnsi="David"/>
          <w:rtl w:val="true"/>
        </w:rPr>
        <w:t xml:space="preserve"> </w:t>
      </w:r>
      <w:r>
        <w:rPr>
          <w:rFonts w:ascii="David" w:hAnsi="David" w:cs="David"/>
          <w:rtl w:val="true"/>
        </w:rPr>
        <w:t>בהן כאמור נערכו עסקאות מכר</w:t>
      </w:r>
      <w:r>
        <w:rPr>
          <w:rFonts w:cs="David" w:ascii="David" w:hAnsi="David"/>
          <w:rtl w:val="true"/>
        </w:rPr>
        <w:t xml:space="preserve">. </w:t>
      </w:r>
      <w:r>
        <w:rPr>
          <w:rFonts w:ascii="David" w:hAnsi="David" w:cs="David"/>
          <w:rtl w:val="true"/>
        </w:rPr>
        <w:t>בהתאם לשומות אלה</w:t>
      </w:r>
      <w:r>
        <w:rPr>
          <w:rFonts w:cs="David" w:ascii="David" w:hAnsi="David"/>
          <w:rtl w:val="true"/>
        </w:rPr>
        <w:t xml:space="preserve">, </w:t>
      </w:r>
      <w:r>
        <w:rPr>
          <w:rFonts w:ascii="David" w:hAnsi="David" w:cs="David"/>
          <w:rtl w:val="true"/>
        </w:rPr>
        <w:t>ההשבחה שחלה בדירה הידועה כתת</w:t>
      </w:r>
      <w:r>
        <w:rPr>
          <w:rFonts w:cs="David" w:ascii="David" w:hAnsi="David"/>
          <w:rtl w:val="true"/>
        </w:rPr>
        <w:t>-</w:t>
      </w:r>
      <w:r>
        <w:rPr>
          <w:rFonts w:ascii="David" w:hAnsi="David" w:cs="David"/>
          <w:rtl w:val="true"/>
        </w:rPr>
        <w:t xml:space="preserve">חלקה </w:t>
      </w:r>
      <w:r>
        <w:rPr>
          <w:rFonts w:cs="David" w:ascii="David" w:hAnsi="David"/>
        </w:rPr>
        <w:t>6</w:t>
      </w:r>
      <w:r>
        <w:rPr>
          <w:rFonts w:cs="David" w:ascii="David" w:hAnsi="David"/>
          <w:rtl w:val="true"/>
        </w:rPr>
        <w:t xml:space="preserve"> </w:t>
      </w:r>
      <w:r>
        <w:rPr>
          <w:rFonts w:ascii="David" w:hAnsi="David" w:cs="David"/>
          <w:rtl w:val="true"/>
        </w:rPr>
        <w:t xml:space="preserve">הוערכה בשיעור של </w:t>
      </w:r>
      <w:r>
        <w:rPr>
          <w:rFonts w:cs="David" w:ascii="David" w:hAnsi="David"/>
        </w:rPr>
        <w:t>1,161,938</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וההשבחה שחלה בדירה הידועה כתת</w:t>
      </w:r>
      <w:r>
        <w:rPr>
          <w:rFonts w:cs="David" w:ascii="David" w:hAnsi="David"/>
          <w:rtl w:val="true"/>
        </w:rPr>
        <w:t>-</w:t>
      </w:r>
      <w:r>
        <w:rPr>
          <w:rFonts w:ascii="David" w:hAnsi="David" w:cs="David"/>
          <w:rtl w:val="true"/>
        </w:rPr>
        <w:t xml:space="preserve">חלקה </w:t>
      </w:r>
      <w:r>
        <w:rPr>
          <w:rFonts w:cs="David" w:ascii="David" w:hAnsi="David"/>
        </w:rPr>
        <w:t>14</w:t>
      </w:r>
      <w:r>
        <w:rPr>
          <w:rFonts w:cs="David" w:ascii="David" w:hAnsi="David"/>
          <w:rtl w:val="true"/>
        </w:rPr>
        <w:t xml:space="preserve"> </w:t>
      </w:r>
      <w:r>
        <w:rPr>
          <w:rFonts w:ascii="David" w:hAnsi="David" w:cs="David"/>
          <w:rtl w:val="true"/>
        </w:rPr>
        <w:t xml:space="preserve">הוערכה בשיעור של </w:t>
      </w:r>
      <w:r>
        <w:rPr>
          <w:rFonts w:cs="David" w:ascii="David" w:hAnsi="David"/>
        </w:rPr>
        <w:t>2,156,734</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דמרי ביקשה להשיג על כלל השומות האמורות ובהתאם לשומה נגדית מטעמה טענה כי התוכנית אינה משביחה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color w:val="FFFFFF"/>
          <w:sz w:val="2"/>
          <w:sz w:val="2"/>
          <w:szCs w:val="2"/>
          <w:rtl w:val="true"/>
        </w:rPr>
        <w:t>הועתק מנבו</w:t>
      </w:r>
      <w:r>
        <w:rPr>
          <w:rFonts w:ascii="David" w:hAnsi="David" w:cs="David"/>
          <w:rtl w:val="true"/>
        </w:rPr>
        <w:t>טענותיה של דמרי התבררו בשש השומות המכריעות שלפנינו</w:t>
      </w:r>
      <w:r>
        <w:rPr>
          <w:rFonts w:cs="David" w:ascii="David" w:hAnsi="David"/>
          <w:rtl w:val="true"/>
        </w:rPr>
        <w:t xml:space="preserve">, </w:t>
      </w:r>
      <w:r>
        <w:rPr>
          <w:rFonts w:ascii="David" w:hAnsi="David" w:cs="David"/>
          <w:rtl w:val="true"/>
        </w:rPr>
        <w:t>לפיהן נקבע כי התוכנית השביחה את המתחם בערכים המפורטים כלהלן</w:t>
      </w:r>
      <w:r>
        <w:rPr>
          <w:rFonts w:cs="David" w:ascii="David" w:hAnsi="David"/>
          <w:rtl w:val="true"/>
        </w:rPr>
        <w:t>:</w:t>
      </w:r>
    </w:p>
    <w:tbl>
      <w:tblPr>
        <w:bidiVisual w:val="true"/>
        <w:tblW w:w="7795" w:type="dxa"/>
        <w:jc w:val="start"/>
        <w:tblInd w:w="107" w:type="dxa"/>
        <w:tblLayout w:type="fixed"/>
        <w:tblCellMar>
          <w:top w:w="0" w:type="dxa"/>
          <w:start w:w="108" w:type="dxa"/>
          <w:bottom w:w="0" w:type="dxa"/>
          <w:end w:w="108" w:type="dxa"/>
        </w:tblCellMar>
      </w:tblPr>
      <w:tblGrid>
        <w:gridCol w:w="1983"/>
        <w:gridCol w:w="2468"/>
        <w:gridCol w:w="1643"/>
        <w:gridCol w:w="1701"/>
      </w:tblGrid>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Miriam" w:hAnsi="Miriam" w:cs="Miriam"/>
              </w:rPr>
            </w:pPr>
            <w:r>
              <w:rPr>
                <w:rFonts w:ascii="Miriam" w:hAnsi="Miriam" w:cs="Miriam"/>
                <w:rtl w:val="true"/>
              </w:rPr>
              <w:t>חלקה</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Miriam" w:hAnsi="Miriam" w:cs="Miriam"/>
              </w:rPr>
            </w:pPr>
            <w:r>
              <w:rPr>
                <w:rFonts w:ascii="Miriam" w:hAnsi="Miriam" w:cs="Miriam"/>
                <w:rtl w:val="true"/>
              </w:rPr>
              <w:t>השבחה</w:t>
            </w:r>
          </w:p>
        </w:tc>
        <w:tc>
          <w:tcPr>
            <w:tcW w:w="1643" w:type="dxa"/>
            <w:tcBorders>
              <w:top w:val="single" w:sz="4" w:space="0" w:color="000000"/>
              <w:start w:val="single" w:sz="4" w:space="0" w:color="000000"/>
              <w:bottom w:val="single" w:sz="4" w:space="0" w:color="000000"/>
              <w:end w:val="single" w:sz="4" w:space="0" w:color="000000"/>
            </w:tcBorders>
          </w:tcPr>
          <w:p>
            <w:pPr>
              <w:pStyle w:val="Ruller43"/>
              <w:spacing w:lineRule="auto" w:line="276" w:before="120" w:after="120"/>
              <w:ind w:end="0"/>
              <w:jc w:val="center"/>
              <w:rPr>
                <w:rFonts w:ascii="Miriam" w:hAnsi="Miriam" w:cs="Miriam"/>
              </w:rPr>
            </w:pPr>
            <w:r>
              <w:rPr>
                <w:rFonts w:ascii="Miriam" w:hAnsi="Miriam" w:cs="Miriam"/>
                <w:rtl w:val="true"/>
              </w:rPr>
              <w:t>תת חלקה</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Miriam" w:hAnsi="Miriam" w:cs="Miriam"/>
              </w:rPr>
            </w:pPr>
            <w:r>
              <w:rPr>
                <w:rFonts w:ascii="Miriam" w:hAnsi="Miriam" w:cs="Miriam"/>
                <w:rtl w:val="true"/>
              </w:rPr>
              <w:t>השבחה</w:t>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25</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8,316,483</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c>
          <w:tcPr>
            <w:tcW w:w="1701"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26</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15,604,202</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pacing w:lineRule="auto" w:line="276" w:before="120" w:after="120"/>
              <w:ind w:end="0"/>
              <w:jc w:val="center"/>
              <w:rPr>
                <w:rFonts w:ascii="David" w:hAnsi="David" w:cs="David"/>
              </w:rPr>
            </w:pPr>
            <w:r>
              <w:rPr>
                <w:rFonts w:cs="David" w:ascii="David" w:hAnsi="David"/>
              </w:rPr>
              <w:t>14</w:t>
            </w:r>
          </w:p>
        </w:tc>
        <w:tc>
          <w:tcPr>
            <w:tcW w:w="1701" w:type="dxa"/>
            <w:tcBorders>
              <w:top w:val="single" w:sz="4" w:space="0" w:color="000000"/>
              <w:start w:val="single" w:sz="4" w:space="0" w:color="000000"/>
              <w:bottom w:val="single" w:sz="4" w:space="0" w:color="000000"/>
              <w:end w:val="single" w:sz="4" w:space="0" w:color="000000"/>
            </w:tcBorders>
          </w:tcPr>
          <w:p>
            <w:pPr>
              <w:pStyle w:val="Ruller43"/>
              <w:spacing w:lineRule="auto" w:line="276" w:before="120" w:after="120"/>
              <w:ind w:end="0"/>
              <w:jc w:val="center"/>
              <w:rPr>
                <w:rFonts w:ascii="David" w:hAnsi="David" w:cs="David"/>
              </w:rPr>
            </w:pPr>
            <w:r>
              <w:rPr>
                <w:rFonts w:cs="David" w:ascii="David" w:hAnsi="David"/>
              </w:rPr>
              <w:t>769,047</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27</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4,427,868</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c>
          <w:tcPr>
            <w:tcW w:w="1701"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28</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4,662,876</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pacing w:lineRule="auto" w:line="276" w:before="120" w:after="120"/>
              <w:ind w:end="0"/>
              <w:jc w:val="center"/>
              <w:rPr>
                <w:rFonts w:ascii="David" w:hAnsi="David" w:cs="David"/>
              </w:rPr>
            </w:pPr>
            <w:r>
              <w:rPr>
                <w:rFonts w:cs="David" w:ascii="David" w:hAnsi="David"/>
              </w:rPr>
              <w:t>6</w:t>
            </w:r>
          </w:p>
        </w:tc>
        <w:tc>
          <w:tcPr>
            <w:tcW w:w="1701" w:type="dxa"/>
            <w:tcBorders>
              <w:top w:val="single" w:sz="4" w:space="0" w:color="000000"/>
              <w:start w:val="single" w:sz="4" w:space="0" w:color="000000"/>
              <w:bottom w:val="single" w:sz="4" w:space="0" w:color="000000"/>
              <w:end w:val="single" w:sz="4" w:space="0" w:color="000000"/>
            </w:tcBorders>
          </w:tcPr>
          <w:p>
            <w:pPr>
              <w:pStyle w:val="Ruller43"/>
              <w:spacing w:lineRule="auto" w:line="276" w:before="120" w:after="120"/>
              <w:ind w:end="0"/>
              <w:jc w:val="center"/>
              <w:rPr>
                <w:rFonts w:ascii="David" w:hAnsi="David" w:cs="David"/>
              </w:rPr>
            </w:pPr>
            <w:r>
              <w:rPr>
                <w:rFonts w:cs="David" w:ascii="David" w:hAnsi="David"/>
              </w:rPr>
              <w:t>272,056</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29</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4,629,591</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c>
          <w:tcPr>
            <w:tcW w:w="1701"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r>
      <w:tr>
        <w:trPr/>
        <w:tc>
          <w:tcPr>
            <w:tcW w:w="1983"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30</w:t>
            </w:r>
          </w:p>
        </w:tc>
        <w:tc>
          <w:tcPr>
            <w:tcW w:w="2468" w:type="dxa"/>
            <w:tcBorders>
              <w:top w:val="single" w:sz="4" w:space="0" w:color="000000"/>
              <w:start w:val="single" w:sz="4" w:space="0" w:color="000000"/>
              <w:bottom w:val="single" w:sz="4" w:space="0" w:color="000000"/>
              <w:end w:val="single" w:sz="4" w:space="0" w:color="000000"/>
            </w:tcBorders>
            <w:vAlign w:val="center"/>
          </w:tcPr>
          <w:p>
            <w:pPr>
              <w:pStyle w:val="Ruller43"/>
              <w:spacing w:lineRule="auto" w:line="276" w:before="120" w:after="120"/>
              <w:ind w:end="0"/>
              <w:jc w:val="center"/>
              <w:rPr>
                <w:rFonts w:ascii="David" w:hAnsi="David" w:cs="David"/>
              </w:rPr>
            </w:pPr>
            <w:r>
              <w:rPr>
                <w:rFonts w:cs="David" w:ascii="David" w:hAnsi="David"/>
              </w:rPr>
              <w:t>2,573,456</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p>
        </w:tc>
        <w:tc>
          <w:tcPr>
            <w:tcW w:w="1643"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c>
          <w:tcPr>
            <w:tcW w:w="1701" w:type="dxa"/>
            <w:tcBorders>
              <w:top w:val="single" w:sz="4" w:space="0" w:color="000000"/>
              <w:start w:val="single" w:sz="4" w:space="0" w:color="000000"/>
              <w:bottom w:val="single" w:sz="4" w:space="0" w:color="000000"/>
              <w:end w:val="single" w:sz="4" w:space="0" w:color="000000"/>
            </w:tcBorders>
          </w:tcPr>
          <w:p>
            <w:pPr>
              <w:pStyle w:val="Ruller43"/>
              <w:snapToGrid w:val="false"/>
              <w:spacing w:lineRule="auto" w:line="276" w:before="120" w:after="120"/>
              <w:ind w:end="0"/>
              <w:jc w:val="center"/>
              <w:rPr>
                <w:rFonts w:ascii="David" w:hAnsi="David" w:cs="David"/>
              </w:rPr>
            </w:pPr>
            <w:r>
              <w:rPr>
                <w:rFonts w:cs="David" w:ascii="David" w:hAnsi="David"/>
                <w:rtl w:val="true"/>
              </w:rPr>
            </w:r>
          </w:p>
        </w:tc>
      </w:tr>
    </w:tbl>
    <w:p>
      <w:pPr>
        <w:pStyle w:val="Ruller43"/>
        <w:numPr>
          <w:ilvl w:val="0"/>
          <w:numId w:val="14"/>
        </w:numPr>
        <w:spacing w:before="240" w:after="240"/>
        <w:ind w:hanging="510" w:start="510" w:end="0"/>
        <w:jc w:val="both"/>
        <w:rPr>
          <w:rFonts w:ascii="David" w:hAnsi="David" w:cs="David"/>
        </w:rPr>
      </w:pPr>
      <w:r>
        <w:rPr>
          <w:rFonts w:ascii="David" w:hAnsi="David" w:cs="David"/>
          <w:rtl w:val="true"/>
        </w:rPr>
        <w:t>בהתאם לערכים אלה</w:t>
      </w:r>
      <w:r>
        <w:rPr>
          <w:rFonts w:cs="David" w:ascii="David" w:hAnsi="David"/>
          <w:rtl w:val="true"/>
        </w:rPr>
        <w:t xml:space="preserve">, </w:t>
      </w:r>
      <w:r>
        <w:rPr>
          <w:rFonts w:ascii="David" w:hAnsi="David" w:cs="David"/>
          <w:rtl w:val="true"/>
        </w:rPr>
        <w:t xml:space="preserve">סכום ההשבחה המצרפית לכלל החלקות הוא </w:t>
      </w:r>
      <w:r>
        <w:rPr>
          <w:rFonts w:cs="David" w:ascii="David" w:hAnsi="David"/>
        </w:rPr>
        <w:t>40,214,476</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השומות המכריעות כוללת תחשיב חלופי שבו הוחרגו זכויות בנייה שהוקנו בתוכנית לצורך הקמתם של מרחבים מוגנים</w:t>
      </w:r>
      <w:r>
        <w:rPr>
          <w:rFonts w:cs="David" w:ascii="David" w:hAnsi="David"/>
          <w:rtl w:val="true"/>
        </w:rPr>
        <w:t xml:space="preserve">, </w:t>
      </w:r>
      <w:r>
        <w:rPr>
          <w:rFonts w:ascii="David" w:hAnsi="David" w:cs="David"/>
          <w:rtl w:val="true"/>
        </w:rPr>
        <w:t xml:space="preserve">וזאת בהתאם להוראות </w:t>
      </w:r>
      <w:hyperlink r:id="rId9">
        <w:r>
          <w:rPr>
            <w:rStyle w:val="Hyperlink"/>
            <w:rFonts w:ascii="David" w:hAnsi="David" w:cs="David"/>
            <w:rtl w:val="true"/>
          </w:rPr>
          <w:t xml:space="preserve">סעיף </w:t>
        </w:r>
        <w:r>
          <w:rPr>
            <w:rStyle w:val="Hyperlink"/>
            <w:rFonts w:cs="David" w:ascii="David" w:hAnsi="David"/>
          </w:rPr>
          <w:t>19</w:t>
        </w:r>
        <w:r>
          <w:rPr>
            <w:rStyle w:val="Hyperlink"/>
            <w:rFonts w:cs="David" w:ascii="David" w:hAnsi="David"/>
            <w:rtl w:val="true"/>
          </w:rPr>
          <w:t>(</w:t>
        </w:r>
        <w:r>
          <w:rPr>
            <w:rStyle w:val="Hyperlink"/>
            <w:rFonts w:ascii="David" w:hAnsi="David" w:cs="David"/>
            <w:rtl w:val="true"/>
          </w:rPr>
          <w:t>ב</w:t>
        </w:r>
        <w:r>
          <w:rPr>
            <w:rStyle w:val="Hyperlink"/>
            <w:rFonts w:cs="David" w:ascii="David" w:hAnsi="David"/>
            <w:rtl w:val="true"/>
          </w:rPr>
          <w:t>)(</w:t>
        </w:r>
        <w:r>
          <w:rPr>
            <w:rStyle w:val="Hyperlink"/>
            <w:rFonts w:cs="David" w:ascii="David" w:hAnsi="David"/>
          </w:rPr>
          <w:t>9</w:t>
        </w:r>
        <w:r>
          <w:rPr>
            <w:rStyle w:val="Hyperlink"/>
            <w:rFonts w:cs="David" w:ascii="David" w:hAnsi="David"/>
            <w:rtl w:val="true"/>
          </w:rPr>
          <w:t>)</w:t>
        </w:r>
      </w:hyperlink>
      <w:r>
        <w:rPr>
          <w:rFonts w:cs="David" w:ascii="David" w:hAnsi="David"/>
          <w:rtl w:val="true"/>
        </w:rPr>
        <w:t xml:space="preserve"> </w:t>
      </w:r>
      <w:r>
        <w:rPr>
          <w:rFonts w:ascii="David" w:hAnsi="David" w:cs="David"/>
          <w:rtl w:val="true"/>
        </w:rPr>
        <w:t>לתוספת השלישית ל</w:t>
      </w:r>
      <w:hyperlink r:id="rId10">
        <w:r>
          <w:rPr>
            <w:rStyle w:val="Hyperlink"/>
            <w:rFonts w:ascii="David" w:hAnsi="David" w:cs="David"/>
            <w:color w:val="0000FF"/>
            <w:u w:val="single"/>
            <w:rtl w:val="true"/>
          </w:rPr>
          <w:t>חוק התכנון והבנייה</w:t>
        </w:r>
      </w:hyperlink>
      <w:r>
        <w:rPr>
          <w:rFonts w:ascii="David" w:hAnsi="David" w:cs="David"/>
          <w:rtl w:val="true"/>
        </w:rPr>
        <w:t xml:space="preserve"> </w:t>
      </w:r>
      <w:r>
        <w:rPr>
          <w:rFonts w:cs="David" w:ascii="David" w:hAnsi="David"/>
          <w:rtl w:val="true"/>
        </w:rPr>
        <w:t>(</w:t>
      </w:r>
      <w:r>
        <w:rPr>
          <w:rFonts w:ascii="David" w:hAnsi="David" w:cs="David"/>
          <w:rtl w:val="true"/>
        </w:rPr>
        <w:t>להלן</w:t>
      </w:r>
      <w:r>
        <w:rPr>
          <w:rFonts w:cs="David" w:ascii="David" w:hAnsi="David"/>
          <w:rtl w:val="true"/>
        </w:rPr>
        <w:t>: "</w:t>
      </w:r>
      <w:r>
        <w:rPr>
          <w:rFonts w:ascii="Miriam" w:hAnsi="Miriam" w:cs="Miriam"/>
          <w:rtl w:val="true"/>
        </w:rPr>
        <w:t>סעיף הפטור</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בהתאם לחלופה זו</w:t>
      </w:r>
      <w:r>
        <w:rPr>
          <w:rFonts w:cs="David" w:ascii="David" w:hAnsi="David"/>
          <w:rtl w:val="true"/>
        </w:rPr>
        <w:t xml:space="preserve">, </w:t>
      </w:r>
      <w:r>
        <w:rPr>
          <w:rFonts w:ascii="David" w:hAnsi="David" w:cs="David"/>
          <w:rtl w:val="true"/>
        </w:rPr>
        <w:t xml:space="preserve">סכום ההשבחה המצרפית לכלל החלקות הוא </w:t>
      </w:r>
      <w:r>
        <w:rPr>
          <w:rFonts w:cs="David" w:ascii="David" w:hAnsi="David"/>
        </w:rPr>
        <w:t>20,900,650</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הצדדים מבקשים להשיג על השומות המכריעות</w:t>
      </w:r>
      <w:r>
        <w:rPr>
          <w:rFonts w:cs="David" w:ascii="David" w:hAnsi="David"/>
          <w:rtl w:val="true"/>
        </w:rPr>
        <w:t xml:space="preserve">, </w:t>
      </w:r>
      <w:r>
        <w:rPr>
          <w:rFonts w:ascii="David" w:hAnsi="David" w:cs="David"/>
          <w:rtl w:val="true"/>
        </w:rPr>
        <w:t>כל אחד מטעמיו הוא</w:t>
      </w:r>
      <w:r>
        <w:rPr>
          <w:rFonts w:cs="David" w:ascii="David" w:hAnsi="David"/>
          <w:rtl w:val="true"/>
        </w:rPr>
        <w:t xml:space="preserve">, </w:t>
      </w:r>
      <w:r>
        <w:rPr>
          <w:rFonts w:ascii="David" w:hAnsi="David" w:cs="David"/>
          <w:rtl w:val="true"/>
        </w:rPr>
        <w:t>ומכאן ההליכים שלפנינו</w:t>
      </w:r>
      <w:r>
        <w:rPr>
          <w:rFonts w:cs="David" w:ascii="David" w:hAnsi="David"/>
          <w:rtl w:val="true"/>
        </w:rPr>
        <w:t>.</w:t>
      </w:r>
    </w:p>
    <w:p>
      <w:pPr>
        <w:pStyle w:val="Heading1"/>
        <w:suppressLineNumbers/>
        <w:ind w:firstLine="510" w:end="0"/>
        <w:jc w:val="start"/>
        <w:rPr/>
      </w:pPr>
      <w:r>
        <w:rPr>
          <w:rtl w:val="true"/>
        </w:rPr>
        <w:t>טענות הצדדים</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הוועדה המקומית טוענת כי בשומות המכריעות נפלה טעות מתודולוגית</w:t>
      </w:r>
      <w:r>
        <w:rPr>
          <w:rFonts w:cs="David" w:ascii="David" w:hAnsi="David"/>
          <w:rtl w:val="true"/>
        </w:rPr>
        <w:t xml:space="preserve">, </w:t>
      </w:r>
      <w:r>
        <w:rPr>
          <w:rFonts w:ascii="David" w:hAnsi="David" w:cs="David"/>
          <w:rtl w:val="true"/>
        </w:rPr>
        <w:t>שכן מקדם הדחייה</w:t>
      </w:r>
      <w:r>
        <w:rPr>
          <w:rFonts w:cs="David" w:ascii="David" w:hAnsi="David"/>
          <w:rtl w:val="true"/>
        </w:rPr>
        <w:t xml:space="preserve">, </w:t>
      </w:r>
      <w:r>
        <w:rPr>
          <w:rFonts w:ascii="David" w:hAnsi="David" w:cs="David"/>
          <w:rtl w:val="true"/>
        </w:rPr>
        <w:t>כפי שנקבע בשומות המכריעות</w:t>
      </w:r>
      <w:r>
        <w:rPr>
          <w:rFonts w:cs="David" w:ascii="David" w:hAnsi="David"/>
          <w:rtl w:val="true"/>
        </w:rPr>
        <w:t xml:space="preserve">, </w:t>
      </w:r>
      <w:r>
        <w:rPr>
          <w:rFonts w:ascii="David" w:hAnsi="David" w:cs="David"/>
          <w:rtl w:val="true"/>
        </w:rPr>
        <w:t>הופעל על שווי המצב התכנוני החדש</w:t>
      </w:r>
      <w:r>
        <w:rPr>
          <w:rFonts w:cs="David" w:ascii="David" w:hAnsi="David"/>
          <w:rtl w:val="true"/>
        </w:rPr>
        <w:t xml:space="preserve">, </w:t>
      </w:r>
      <w:r>
        <w:rPr>
          <w:rFonts w:ascii="David" w:hAnsi="David" w:cs="David"/>
          <w:rtl w:val="true"/>
        </w:rPr>
        <w:t>ולא על ההשבחה</w:t>
      </w:r>
      <w:r>
        <w:rPr>
          <w:rFonts w:cs="David" w:ascii="David" w:hAnsi="David"/>
          <w:rtl w:val="true"/>
        </w:rPr>
        <w:t xml:space="preserve">. </w:t>
      </w:r>
      <w:r>
        <w:rPr>
          <w:rFonts w:ascii="David" w:hAnsi="David" w:cs="David"/>
          <w:rtl w:val="true"/>
        </w:rPr>
        <w:t>בכך</w:t>
      </w:r>
      <w:r>
        <w:rPr>
          <w:rFonts w:cs="David" w:ascii="David" w:hAnsi="David"/>
          <w:rtl w:val="true"/>
        </w:rPr>
        <w:t xml:space="preserve">, </w:t>
      </w:r>
      <w:r>
        <w:rPr>
          <w:rFonts w:ascii="David" w:hAnsi="David" w:cs="David"/>
          <w:rtl w:val="true"/>
        </w:rPr>
        <w:t>לגישתה</w:t>
      </w:r>
      <w:r>
        <w:rPr>
          <w:rFonts w:cs="David" w:ascii="David" w:hAnsi="David"/>
          <w:rtl w:val="true"/>
        </w:rPr>
        <w:t xml:space="preserve">, </w:t>
      </w:r>
      <w:r>
        <w:rPr>
          <w:rFonts w:ascii="David" w:hAnsi="David" w:cs="David"/>
          <w:rtl w:val="true"/>
        </w:rPr>
        <w:t>סטתה השמאית המכריעה מהמתדולוגיה הראויה לחישוב היטל השבחה כפי שנקבעה ב</w:t>
      </w:r>
      <w:hyperlink r:id="rId11">
        <w:r>
          <w:rPr>
            <w:rStyle w:val="Hyperlink"/>
            <w:rFonts w:ascii="David" w:hAnsi="David" w:cs="David"/>
            <w:color w:val="0000FF"/>
            <w:u w:val="single"/>
            <w:rtl w:val="true"/>
          </w:rPr>
          <w:t>עמ</w:t>
        </w:r>
        <w:r>
          <w:rPr>
            <w:rStyle w:val="Hyperlink"/>
            <w:rFonts w:cs="David" w:ascii="David" w:hAnsi="David"/>
            <w:color w:val="0000FF"/>
            <w:u w:val="single"/>
            <w:rtl w:val="true"/>
          </w:rPr>
          <w:t>"</w:t>
        </w:r>
        <w:r>
          <w:rPr>
            <w:rStyle w:val="Hyperlink"/>
            <w:rFonts w:ascii="David" w:hAnsi="David" w:cs="David"/>
            <w:color w:val="0000FF"/>
            <w:u w:val="single"/>
            <w:rtl w:val="true"/>
          </w:rPr>
          <w:t xml:space="preserve">נ </w:t>
        </w:r>
        <w:r>
          <w:rPr>
            <w:rStyle w:val="Hyperlink"/>
            <w:rFonts w:cs="David" w:ascii="David" w:hAnsi="David"/>
            <w:color w:val="0000FF"/>
            <w:u w:val="single"/>
            <w:rtl w:val="true"/>
          </w:rPr>
          <w:t>(</w:t>
        </w:r>
        <w:r>
          <w:rPr>
            <w:rStyle w:val="Hyperlink"/>
            <w:rFonts w:ascii="David" w:hAnsi="David" w:cs="David"/>
            <w:color w:val="0000FF"/>
            <w:u w:val="single"/>
            <w:rtl w:val="true"/>
          </w:rPr>
          <w:t>מינהליים ת</w:t>
        </w:r>
        <w:r>
          <w:rPr>
            <w:rStyle w:val="Hyperlink"/>
            <w:rFonts w:cs="David" w:ascii="David" w:hAnsi="David"/>
            <w:color w:val="0000FF"/>
            <w:u w:val="single"/>
            <w:rtl w:val="true"/>
          </w:rPr>
          <w:t>"</w:t>
        </w:r>
        <w:r>
          <w:rPr>
            <w:rStyle w:val="Hyperlink"/>
            <w:rFonts w:ascii="David" w:hAnsi="David" w:cs="David"/>
            <w:color w:val="0000FF"/>
            <w:u w:val="single"/>
            <w:rtl w:val="true"/>
          </w:rPr>
          <w:t>א</w:t>
        </w:r>
        <w:r>
          <w:rPr>
            <w:rStyle w:val="Hyperlink"/>
            <w:rFonts w:cs="David" w:ascii="David" w:hAnsi="David"/>
            <w:color w:val="0000FF"/>
            <w:u w:val="single"/>
            <w:rtl w:val="true"/>
          </w:rPr>
          <w:t xml:space="preserve">) </w:t>
        </w:r>
        <w:r>
          <w:rPr>
            <w:rStyle w:val="Hyperlink"/>
            <w:rFonts w:cs="David" w:ascii="David" w:hAnsi="David"/>
            <w:color w:val="0000FF"/>
            <w:u w:val="single"/>
          </w:rPr>
          <w:t>18341-09-24</w:t>
        </w:r>
      </w:hyperlink>
      <w:r>
        <w:rPr>
          <w:rFonts w:cs="David" w:ascii="David" w:hAnsi="David"/>
          <w:rtl w:val="true"/>
        </w:rPr>
        <w:t xml:space="preserve"> </w:t>
      </w:r>
      <w:r>
        <w:rPr>
          <w:rFonts w:ascii="Miriam" w:hAnsi="Miriam" w:cs="Miriam"/>
          <w:rtl w:val="true"/>
        </w:rPr>
        <w:t>הוועדה המקומית לתכנון ולבניה תל אביב</w:t>
      </w:r>
      <w:r>
        <w:rPr>
          <w:rFonts w:cs="Miriam" w:ascii="Miriam" w:hAnsi="Miriam"/>
          <w:rtl w:val="true"/>
        </w:rPr>
        <w:t>-</w:t>
      </w:r>
      <w:r>
        <w:rPr>
          <w:rFonts w:ascii="Miriam" w:hAnsi="Miriam" w:cs="Miriam"/>
          <w:rtl w:val="true"/>
        </w:rPr>
        <w:t>יפו נ</w:t>
      </w:r>
      <w:r>
        <w:rPr>
          <w:rFonts w:cs="Miriam" w:ascii="Miriam" w:hAnsi="Miriam"/>
          <w:rtl w:val="true"/>
        </w:rPr>
        <w:t xml:space="preserve">' </w:t>
      </w:r>
      <w:r>
        <w:rPr>
          <w:rFonts w:ascii="Miriam" w:hAnsi="Miriam" w:cs="Miriam"/>
          <w:rtl w:val="true"/>
        </w:rPr>
        <w:t>נועה לב</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26.6.2025</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עניין נועה לב</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לחלופין</w:t>
      </w:r>
      <w:r>
        <w:rPr>
          <w:rFonts w:cs="David" w:ascii="David" w:hAnsi="David"/>
          <w:rtl w:val="true"/>
        </w:rPr>
        <w:t xml:space="preserve">, </w:t>
      </w:r>
      <w:r>
        <w:rPr>
          <w:rFonts w:ascii="David" w:hAnsi="David" w:cs="David"/>
          <w:rtl w:val="true"/>
        </w:rPr>
        <w:t>הוועדה המקומית טוענת כי ככל שמביאים בחשבון דחייה לשווי במצב התכנוני החדש</w:t>
      </w:r>
      <w:r>
        <w:rPr>
          <w:rFonts w:cs="David" w:ascii="David" w:hAnsi="David"/>
          <w:rtl w:val="true"/>
        </w:rPr>
        <w:t xml:space="preserve">, </w:t>
      </w:r>
      <w:r>
        <w:rPr>
          <w:rFonts w:ascii="David" w:hAnsi="David" w:cs="David"/>
          <w:rtl w:val="true"/>
        </w:rPr>
        <w:t>יש להביא בחשבון גם את התועלת הכלכלית שמפיק בעל המקרקעין בתקופת הביניים מהמשך השימוש במבנים הקיימים</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בתקופת ההמתנה למימוש התוכנית ממשיכות הדירות להניב דמי שכירות</w:t>
      </w:r>
      <w:r>
        <w:rPr>
          <w:rFonts w:cs="David" w:ascii="David" w:hAnsi="David"/>
          <w:rtl w:val="true"/>
        </w:rPr>
        <w:t xml:space="preserve">, </w:t>
      </w:r>
      <w:r>
        <w:rPr>
          <w:rFonts w:ascii="David" w:hAnsi="David" w:cs="David"/>
          <w:rtl w:val="true"/>
        </w:rPr>
        <w:t>ואין להתחשב ב</w:t>
      </w:r>
      <w:r>
        <w:rPr>
          <w:rFonts w:cs="David" w:ascii="David" w:hAnsi="David"/>
          <w:rtl w:val="true"/>
        </w:rPr>
        <w:t>"</w:t>
      </w:r>
      <w:r>
        <w:rPr>
          <w:rFonts w:ascii="David" w:hAnsi="David" w:cs="David"/>
          <w:rtl w:val="true"/>
        </w:rPr>
        <w:t>עוקץ</w:t>
      </w:r>
      <w:r>
        <w:rPr>
          <w:rFonts w:cs="David" w:ascii="David" w:hAnsi="David"/>
          <w:rtl w:val="true"/>
        </w:rPr>
        <w:t xml:space="preserve">" </w:t>
      </w:r>
      <w:r>
        <w:rPr>
          <w:rFonts w:ascii="David" w:hAnsi="David" w:cs="David"/>
          <w:rtl w:val="true"/>
        </w:rPr>
        <w:t xml:space="preserve">של הדחייה תוך התעלמות מן </w:t>
      </w:r>
      <w:r>
        <w:rPr>
          <w:rFonts w:cs="David" w:ascii="David" w:hAnsi="David"/>
          <w:rtl w:val="true"/>
        </w:rPr>
        <w:t>"</w:t>
      </w:r>
      <w:r>
        <w:rPr>
          <w:rFonts w:ascii="David" w:hAnsi="David" w:cs="David"/>
          <w:rtl w:val="true"/>
        </w:rPr>
        <w:t>הדבש</w:t>
      </w:r>
      <w:r>
        <w:rPr>
          <w:rFonts w:cs="David" w:ascii="David" w:hAnsi="David"/>
          <w:rtl w:val="true"/>
        </w:rPr>
        <w:t xml:space="preserve">" – </w:t>
      </w:r>
      <w:r>
        <w:rPr>
          <w:rFonts w:ascii="David" w:hAnsi="David" w:cs="David"/>
          <w:rtl w:val="true"/>
        </w:rPr>
        <w:t>ההכנסה המתקבלת מן הנכס הקיים</w:t>
      </w:r>
      <w:r>
        <w:rPr>
          <w:rFonts w:cs="David" w:ascii="David" w:hAnsi="David"/>
          <w:rtl w:val="true"/>
        </w:rPr>
        <w:t xml:space="preserve">. </w:t>
      </w:r>
      <w:r>
        <w:rPr>
          <w:rFonts w:ascii="David" w:hAnsi="David" w:cs="David"/>
          <w:rtl w:val="true"/>
        </w:rPr>
        <w:t>הוועדה טענה כי שני המרכיבים הם נתונים כלכליים חיצוניים לתוכנית שיש לבחון כמכלול אחד</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כמו כן</w:t>
      </w:r>
      <w:r>
        <w:rPr>
          <w:rFonts w:cs="David" w:ascii="David" w:hAnsi="David"/>
          <w:rtl w:val="true"/>
        </w:rPr>
        <w:t xml:space="preserve">, </w:t>
      </w:r>
      <w:r>
        <w:rPr>
          <w:rFonts w:ascii="David" w:hAnsi="David" w:cs="David"/>
          <w:rtl w:val="true"/>
        </w:rPr>
        <w:t>הוועדה המקומית טוענת כי מקדם הדחייה שקבעה השמאית המכריעה מחמיר ואינו משקף את נסיבותיו הקונקרטיות של המיזם ואת נתוני המימוש בפועל של פרויקטים להתחדשות עירונית בנתניה</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השמאית המכריעה אמנם ציינה כי תיתן משקל להיקף חתימות בעלי הדירות</w:t>
      </w:r>
      <w:r>
        <w:rPr>
          <w:rFonts w:cs="David" w:ascii="David" w:hAnsi="David"/>
          <w:rtl w:val="true"/>
        </w:rPr>
        <w:t xml:space="preserve">, </w:t>
      </w:r>
      <w:r>
        <w:rPr>
          <w:rFonts w:ascii="David" w:hAnsi="David" w:cs="David"/>
          <w:rtl w:val="true"/>
        </w:rPr>
        <w:t>אולם בפועל לא ניתן משקל מספק לכך שבמועד הרלוונטי כבר היה שיעור חתימות משמעותי</w:t>
      </w:r>
      <w:r>
        <w:rPr>
          <w:rFonts w:cs="David" w:ascii="David" w:hAnsi="David"/>
          <w:rtl w:val="true"/>
        </w:rPr>
        <w:t xml:space="preserve">. </w:t>
      </w:r>
      <w:r>
        <w:rPr>
          <w:rFonts w:ascii="David" w:hAnsi="David" w:cs="David"/>
          <w:rtl w:val="true"/>
        </w:rPr>
        <w:t>הוועדה המקומית חולקת גם על אופן ניתוח עסקאות ההשוואה ששימשו את השמאית המכריעה לקביעת תקופת הדחייה</w:t>
      </w:r>
      <w:r>
        <w:rPr>
          <w:rFonts w:cs="David" w:ascii="David" w:hAnsi="David"/>
          <w:rtl w:val="true"/>
        </w:rPr>
        <w:t xml:space="preserve">. </w:t>
      </w:r>
      <w:r>
        <w:rPr>
          <w:rFonts w:ascii="David" w:hAnsi="David" w:cs="David"/>
          <w:rtl w:val="true"/>
        </w:rPr>
        <w:t>לטענתה</w:t>
      </w:r>
      <w:r>
        <w:rPr>
          <w:rFonts w:cs="David" w:ascii="David" w:hAnsi="David"/>
          <w:rtl w:val="true"/>
        </w:rPr>
        <w:t xml:space="preserve">, </w:t>
      </w:r>
      <w:r>
        <w:rPr>
          <w:rFonts w:ascii="David" w:hAnsi="David" w:cs="David"/>
          <w:rtl w:val="true"/>
        </w:rPr>
        <w:t>אין ללמוד מתקופות המימוש של תוכניות קודמות שלא היו כלכליות במתכונתן המקורית ונזקקו לתוכנית משלימה שהוסיפה זכויות</w:t>
      </w:r>
      <w:r>
        <w:rPr>
          <w:rFonts w:cs="David" w:ascii="David" w:hAnsi="David"/>
          <w:rtl w:val="true"/>
        </w:rPr>
        <w:t xml:space="preserve">. </w:t>
      </w:r>
      <w:r>
        <w:rPr>
          <w:rFonts w:ascii="David" w:hAnsi="David" w:cs="David"/>
          <w:rtl w:val="true"/>
        </w:rPr>
        <w:t>במקרים אלה יש למדוד את משך המימוש מהמועד שבו אושרה התוכנית המשלימה והפרויקט הפך לכלכלי</w:t>
      </w:r>
      <w:r>
        <w:rPr>
          <w:rFonts w:cs="David" w:ascii="David" w:hAnsi="David"/>
          <w:rtl w:val="true"/>
        </w:rPr>
        <w:t xml:space="preserve">, </w:t>
      </w:r>
      <w:r>
        <w:rPr>
          <w:rFonts w:ascii="David" w:hAnsi="David" w:cs="David"/>
          <w:rtl w:val="true"/>
        </w:rPr>
        <w:t>ולא ממועד אישורה של התוכנית הראשונה</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המיזם מושא העררים שונה מאותם מקרים</w:t>
      </w:r>
      <w:r>
        <w:rPr>
          <w:rFonts w:cs="David" w:ascii="David" w:hAnsi="David"/>
          <w:rtl w:val="true"/>
        </w:rPr>
        <w:t xml:space="preserve">, </w:t>
      </w:r>
      <w:r>
        <w:rPr>
          <w:rFonts w:ascii="David" w:hAnsi="David" w:cs="David"/>
          <w:rtl w:val="true"/>
        </w:rPr>
        <w:t>שכן אין מדובר בתכנון דו</w:t>
      </w:r>
      <w:r>
        <w:rPr>
          <w:rFonts w:cs="David" w:ascii="David" w:hAnsi="David"/>
          <w:rtl w:val="true"/>
        </w:rPr>
        <w:t>-</w:t>
      </w:r>
      <w:r>
        <w:rPr>
          <w:rFonts w:ascii="David" w:hAnsi="David" w:cs="David"/>
          <w:rtl w:val="true"/>
        </w:rPr>
        <w:t>שלבי או בתוכנית ביניים בלתי</w:t>
      </w:r>
      <w:r>
        <w:rPr>
          <w:rFonts w:cs="David" w:ascii="David" w:hAnsi="David"/>
          <w:rtl w:val="true"/>
        </w:rPr>
        <w:t>-</w:t>
      </w:r>
      <w:r>
        <w:rPr>
          <w:rFonts w:ascii="David" w:hAnsi="David" w:cs="David"/>
          <w:rtl w:val="true"/>
        </w:rPr>
        <w:t>כלכלית</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עוד טוענת הוועדה המקומית כי יש לייחס משקל מרכזי לשתי עסקאות מכר שנערכו בדירות המצויות במתחם לאחר אישור התוכנית</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עסקאות אלה הן נתוני השוואה מהמקרקעין עצמם</w:t>
      </w:r>
      <w:r>
        <w:rPr>
          <w:rFonts w:cs="David" w:ascii="David" w:hAnsi="David"/>
          <w:rtl w:val="true"/>
        </w:rPr>
        <w:t xml:space="preserve">, </w:t>
      </w:r>
      <w:r>
        <w:rPr>
          <w:rFonts w:ascii="David" w:hAnsi="David" w:cs="David"/>
          <w:rtl w:val="true"/>
        </w:rPr>
        <w:t>והיה על השמאית המכריעה להעניק להן משקל ממשי בקביעת שווי המצב החדש</w:t>
      </w:r>
      <w:r>
        <w:rPr>
          <w:rFonts w:cs="David" w:ascii="David" w:hAnsi="David"/>
          <w:rtl w:val="true"/>
        </w:rPr>
        <w:t xml:space="preserve">. </w:t>
      </w:r>
      <w:r>
        <w:rPr>
          <w:rFonts w:ascii="David" w:hAnsi="David" w:cs="David"/>
          <w:rtl w:val="true"/>
        </w:rPr>
        <w:t>הפער בין נתונים אלה מוביל</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להשבחה גבוהה באופן משמעותי מזו שנקבעה בשומה המכרעת</w:t>
      </w:r>
      <w:r>
        <w:rPr>
          <w:rFonts w:cs="David" w:ascii="David" w:hAnsi="David"/>
          <w:rtl w:val="true"/>
        </w:rPr>
        <w:t xml:space="preserve">. </w:t>
      </w:r>
      <w:r>
        <w:rPr>
          <w:rFonts w:ascii="David" w:hAnsi="David" w:cs="David"/>
          <w:rtl w:val="true"/>
        </w:rPr>
        <w:t>לטענתה</w:t>
      </w:r>
      <w:r>
        <w:rPr>
          <w:rFonts w:cs="David" w:ascii="David" w:hAnsi="David"/>
          <w:rtl w:val="true"/>
        </w:rPr>
        <w:t xml:space="preserve">, </w:t>
      </w:r>
      <w:r>
        <w:rPr>
          <w:rFonts w:ascii="David" w:hAnsi="David" w:cs="David"/>
          <w:rtl w:val="true"/>
        </w:rPr>
        <w:t>עסקאות אלה מלמדות למצער כי תוצאת השומה המכרעת אינה סבירה ודורשת בחינה מחדש</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נוסף על האמור</w:t>
      </w:r>
      <w:r>
        <w:rPr>
          <w:rFonts w:cs="David" w:ascii="David" w:hAnsi="David"/>
          <w:rtl w:val="true"/>
        </w:rPr>
        <w:t xml:space="preserve">, </w:t>
      </w:r>
      <w:r>
        <w:rPr>
          <w:rFonts w:ascii="David" w:hAnsi="David" w:cs="David"/>
          <w:rtl w:val="true"/>
        </w:rPr>
        <w:t>הוועדה המקומית טוענת כי אין להכיר בזכאות בעלי הזכויות לפטור מהיטל השבחה עבור שטחם של מרחבים מוגנים</w:t>
      </w:r>
      <w:r>
        <w:rPr>
          <w:rFonts w:cs="David" w:ascii="David" w:hAnsi="David"/>
          <w:rtl w:val="true"/>
        </w:rPr>
        <w:t xml:space="preserve">. </w:t>
      </w:r>
      <w:r>
        <w:rPr>
          <w:rFonts w:ascii="David" w:hAnsi="David" w:cs="David"/>
          <w:rtl w:val="true"/>
        </w:rPr>
        <w:t>לגישתה</w:t>
      </w:r>
      <w:r>
        <w:rPr>
          <w:rFonts w:cs="David" w:ascii="David" w:hAnsi="David"/>
          <w:rtl w:val="true"/>
        </w:rPr>
        <w:t xml:space="preserve">, </w:t>
      </w:r>
      <w:r>
        <w:rPr>
          <w:rFonts w:ascii="David" w:hAnsi="David" w:cs="David"/>
          <w:rtl w:val="true"/>
        </w:rPr>
        <w:t>יש לראות בזכויות למרחבים מוגנים כחלק מהממכר ומההשבחה שממנה נהנה היזם</w:t>
      </w:r>
      <w:r>
        <w:rPr>
          <w:rFonts w:cs="David" w:ascii="David" w:hAnsi="David"/>
          <w:rtl w:val="true"/>
        </w:rPr>
        <w:t xml:space="preserve">, </w:t>
      </w:r>
      <w:r>
        <w:rPr>
          <w:rFonts w:ascii="David" w:hAnsi="David" w:cs="David"/>
          <w:rtl w:val="true"/>
        </w:rPr>
        <w:t>וכי הזכויות התגבשו עם כניסתה של התוכנית לתוקף</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בפרויקט בנייה רוויה היזם בונה את הממ</w:t>
      </w:r>
      <w:r>
        <w:rPr>
          <w:rFonts w:cs="David" w:ascii="David" w:hAnsi="David"/>
          <w:rtl w:val="true"/>
        </w:rPr>
        <w:t>"</w:t>
      </w:r>
      <w:r>
        <w:rPr>
          <w:rFonts w:ascii="David" w:hAnsi="David" w:cs="David"/>
          <w:rtl w:val="true"/>
        </w:rPr>
        <w:t>ד ומשווקו כחלק מהדירה החדשה</w:t>
      </w:r>
      <w:r>
        <w:rPr>
          <w:rFonts w:cs="David" w:ascii="David" w:hAnsi="David"/>
          <w:rtl w:val="true"/>
        </w:rPr>
        <w:t xml:space="preserve">, </w:t>
      </w:r>
      <w:r>
        <w:rPr>
          <w:rFonts w:ascii="David" w:hAnsi="David" w:cs="David"/>
          <w:rtl w:val="true"/>
        </w:rPr>
        <w:t>ועל כן פרשנות המרחיבה את הפטור עלולה להביא לפטור גורף כמעט בכל פרויקט של בנייה רוויה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לחלופין</w:t>
      </w:r>
      <w:r>
        <w:rPr>
          <w:rFonts w:cs="David" w:ascii="David" w:hAnsi="David"/>
          <w:rtl w:val="true"/>
        </w:rPr>
        <w:t xml:space="preserve">, </w:t>
      </w:r>
      <w:r>
        <w:rPr>
          <w:rFonts w:ascii="David" w:hAnsi="David" w:cs="David"/>
          <w:rtl w:val="true"/>
        </w:rPr>
        <w:t>הוועדה המקומית מבקשת להסתמך על פסק הדין ב</w:t>
      </w:r>
      <w:hyperlink r:id="rId12">
        <w:r>
          <w:rPr>
            <w:rStyle w:val="Hyperlink"/>
            <w:rFonts w:ascii="David" w:hAnsi="David" w:cs="David"/>
            <w:color w:val="0000FF"/>
            <w:u w:val="single"/>
            <w:rtl w:val="true"/>
          </w:rPr>
          <w:t>עמ</w:t>
        </w:r>
        <w:r>
          <w:rPr>
            <w:rStyle w:val="Hyperlink"/>
            <w:rFonts w:cs="David" w:ascii="David" w:hAnsi="David"/>
            <w:color w:val="0000FF"/>
            <w:u w:val="single"/>
            <w:rtl w:val="true"/>
          </w:rPr>
          <w:t>"</w:t>
        </w:r>
        <w:r>
          <w:rPr>
            <w:rStyle w:val="Hyperlink"/>
            <w:rFonts w:ascii="David" w:hAnsi="David" w:cs="David"/>
            <w:color w:val="0000FF"/>
            <w:u w:val="single"/>
            <w:rtl w:val="true"/>
          </w:rPr>
          <w:t xml:space="preserve">נ </w:t>
        </w:r>
        <w:r>
          <w:rPr>
            <w:rStyle w:val="Hyperlink"/>
            <w:rFonts w:cs="David" w:ascii="David" w:hAnsi="David"/>
            <w:color w:val="0000FF"/>
            <w:u w:val="single"/>
            <w:rtl w:val="true"/>
          </w:rPr>
          <w:t>(</w:t>
        </w:r>
        <w:r>
          <w:rPr>
            <w:rStyle w:val="Hyperlink"/>
            <w:rFonts w:ascii="David" w:hAnsi="David" w:cs="David"/>
            <w:color w:val="0000FF"/>
            <w:u w:val="single"/>
            <w:rtl w:val="true"/>
          </w:rPr>
          <w:t>מינהליים ת</w:t>
        </w:r>
        <w:r>
          <w:rPr>
            <w:rStyle w:val="Hyperlink"/>
            <w:rFonts w:cs="David" w:ascii="David" w:hAnsi="David"/>
            <w:color w:val="0000FF"/>
            <w:u w:val="single"/>
            <w:rtl w:val="true"/>
          </w:rPr>
          <w:t>"</w:t>
        </w:r>
        <w:r>
          <w:rPr>
            <w:rStyle w:val="Hyperlink"/>
            <w:rFonts w:ascii="David" w:hAnsi="David" w:cs="David"/>
            <w:color w:val="0000FF"/>
            <w:u w:val="single"/>
            <w:rtl w:val="true"/>
          </w:rPr>
          <w:t>א</w:t>
        </w:r>
        <w:r>
          <w:rPr>
            <w:rStyle w:val="Hyperlink"/>
            <w:rFonts w:cs="David" w:ascii="David" w:hAnsi="David"/>
            <w:color w:val="0000FF"/>
            <w:u w:val="single"/>
            <w:rtl w:val="true"/>
          </w:rPr>
          <w:t xml:space="preserve">) </w:t>
        </w:r>
        <w:r>
          <w:rPr>
            <w:rStyle w:val="Hyperlink"/>
            <w:rFonts w:cs="David" w:ascii="David" w:hAnsi="David"/>
            <w:color w:val="0000FF"/>
            <w:u w:val="single"/>
          </w:rPr>
          <w:t>35758-09-25</w:t>
        </w:r>
      </w:hyperlink>
      <w:r>
        <w:rPr>
          <w:rFonts w:cs="David" w:ascii="David" w:hAnsi="David"/>
          <w:rtl w:val="true"/>
        </w:rPr>
        <w:t xml:space="preserve"> </w:t>
      </w:r>
      <w:r>
        <w:rPr>
          <w:rFonts w:ascii="Miriam" w:hAnsi="Miriam" w:cs="Miriam"/>
          <w:rtl w:val="true"/>
        </w:rPr>
        <w:t>הועדה המקומית לתכנון ולבניה בת ים נ</w:t>
      </w:r>
      <w:r>
        <w:rPr>
          <w:rFonts w:cs="Miriam" w:ascii="Miriam" w:hAnsi="Miriam"/>
          <w:rtl w:val="true"/>
        </w:rPr>
        <w:t xml:space="preserve">' </w:t>
      </w:r>
      <w:r>
        <w:rPr>
          <w:rFonts w:ascii="Miriam" w:hAnsi="Miriam" w:cs="Miriam"/>
          <w:rtl w:val="true"/>
        </w:rPr>
        <w:t>בקר ב</w:t>
      </w:r>
      <w:r>
        <w:rPr>
          <w:rFonts w:cs="Miriam" w:ascii="Miriam" w:hAnsi="Miriam"/>
          <w:rtl w:val="true"/>
        </w:rPr>
        <w:t>.</w:t>
      </w:r>
      <w:r>
        <w:rPr>
          <w:rFonts w:ascii="Miriam" w:hAnsi="Miriam" w:cs="Miriam"/>
          <w:rtl w:val="true"/>
        </w:rPr>
        <w:t>י</w:t>
      </w:r>
      <w:r>
        <w:rPr>
          <w:rFonts w:cs="Miriam" w:ascii="Miriam" w:hAnsi="Miriam"/>
          <w:rtl w:val="true"/>
        </w:rPr>
        <w:t xml:space="preserve">. </w:t>
      </w:r>
      <w:r>
        <w:rPr>
          <w:rFonts w:ascii="Miriam" w:hAnsi="Miriam" w:cs="Miriam"/>
          <w:rtl w:val="true"/>
        </w:rPr>
        <w:t>חברה לבניין בע</w:t>
      </w:r>
      <w:r>
        <w:rPr>
          <w:rFonts w:cs="Miriam" w:ascii="Miriam" w:hAnsi="Miriam"/>
          <w:rtl w:val="true"/>
        </w:rPr>
        <w:t>"</w:t>
      </w:r>
      <w:r>
        <w:rPr>
          <w:rFonts w:ascii="Miriam" w:hAnsi="Miriam" w:cs="Miriam"/>
          <w:rtl w:val="true"/>
        </w:rPr>
        <w:t>מ</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4.5.2026</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עניין בובליל</w:t>
      </w:r>
      <w:r>
        <w:rPr>
          <w:rFonts w:cs="David" w:ascii="David" w:hAnsi="David"/>
          <w:rtl w:val="true"/>
        </w:rPr>
        <w:t xml:space="preserve">") </w:t>
      </w:r>
      <w:r>
        <w:rPr>
          <w:rFonts w:ascii="David" w:hAnsi="David" w:cs="David"/>
          <w:rtl w:val="true"/>
        </w:rPr>
        <w:t>וטוענת כי למצער יש לחייב בגין מרחבים מוגנים ביחס לדירות שההסכמים עם בעליהן נחתמו לאחר אישור התוכנית</w:t>
      </w:r>
      <w:r>
        <w:rPr>
          <w:rFonts w:cs="David" w:ascii="David" w:hAnsi="David"/>
          <w:rtl w:val="true"/>
        </w:rPr>
        <w:t xml:space="preserve">. </w:t>
      </w:r>
      <w:r>
        <w:rPr>
          <w:rFonts w:ascii="David" w:hAnsi="David" w:cs="David"/>
          <w:rtl w:val="true"/>
        </w:rPr>
        <w:t>עוד נטען כי התוכנית היא זו שאפשרה יצירת יחידות דיור נוספות</w:t>
      </w:r>
      <w:r>
        <w:rPr>
          <w:rFonts w:cs="David" w:ascii="David" w:hAnsi="David"/>
          <w:rtl w:val="true"/>
        </w:rPr>
        <w:t xml:space="preserve">, </w:t>
      </w:r>
      <w:r>
        <w:rPr>
          <w:rFonts w:ascii="David" w:hAnsi="David" w:cs="David"/>
          <w:rtl w:val="true"/>
        </w:rPr>
        <w:t>היא שיצרה את התשתית התכנונית להקמת המרחבים המוגנים הנלווים לאותן יחידות</w:t>
      </w:r>
      <w:r>
        <w:rPr>
          <w:rFonts w:cs="David" w:ascii="David" w:hAnsi="David"/>
          <w:rtl w:val="true"/>
        </w:rPr>
        <w:t xml:space="preserve">. </w:t>
      </w:r>
      <w:r>
        <w:rPr>
          <w:rFonts w:ascii="David" w:hAnsi="David" w:cs="David"/>
          <w:rtl w:val="true"/>
        </w:rPr>
        <w:t>לפיכך קיים</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קשר סיבתי מספק בין אישור התוכנית לבין ההשבחה הנובעת מזכויות למרחבים מוגנים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הוועדה המקומית חולקת גם על קביעות השמאית המכריעה ביחס לרכיב המסחר</w:t>
      </w:r>
      <w:r>
        <w:rPr>
          <w:rFonts w:cs="David" w:ascii="David" w:hAnsi="David"/>
          <w:rtl w:val="true"/>
        </w:rPr>
        <w:t xml:space="preserve">. </w:t>
      </w:r>
      <w:r>
        <w:rPr>
          <w:rFonts w:ascii="David" w:hAnsi="David" w:cs="David"/>
          <w:rtl w:val="true"/>
        </w:rPr>
        <w:t>לטענתה</w:t>
      </w:r>
      <w:r>
        <w:rPr>
          <w:rFonts w:cs="David" w:ascii="David" w:hAnsi="David"/>
          <w:rtl w:val="true"/>
        </w:rPr>
        <w:t xml:space="preserve">, </w:t>
      </w:r>
      <w:r>
        <w:rPr>
          <w:rFonts w:ascii="David" w:hAnsi="David" w:cs="David"/>
          <w:rtl w:val="true"/>
        </w:rPr>
        <w:t>עסקאות ההשוואה שנבחרו אינן מתאימות למתחם שלגביו חלה התוכנית</w:t>
      </w:r>
      <w:r>
        <w:rPr>
          <w:rFonts w:cs="David" w:ascii="David" w:hAnsi="David"/>
          <w:rtl w:val="true"/>
        </w:rPr>
        <w:t xml:space="preserve">. </w:t>
      </w:r>
      <w:r>
        <w:rPr>
          <w:rFonts w:ascii="David" w:hAnsi="David" w:cs="David"/>
          <w:rtl w:val="true"/>
        </w:rPr>
        <w:t>לגישתה</w:t>
      </w:r>
      <w:r>
        <w:rPr>
          <w:rFonts w:cs="David" w:ascii="David" w:hAnsi="David"/>
          <w:rtl w:val="true"/>
        </w:rPr>
        <w:t xml:space="preserve">, </w:t>
      </w:r>
      <w:r>
        <w:rPr>
          <w:rFonts w:ascii="David" w:hAnsi="David" w:cs="David"/>
          <w:rtl w:val="true"/>
        </w:rPr>
        <w:t>לא נערכה הבחנה מספקת בין מסחר בקומת הקרקע לבין מסחר בקומה הראשונה</w:t>
      </w:r>
      <w:r>
        <w:rPr>
          <w:rFonts w:cs="David" w:ascii="David" w:hAnsi="David"/>
          <w:rtl w:val="true"/>
        </w:rPr>
        <w:t xml:space="preserve">, </w:t>
      </w:r>
      <w:r>
        <w:rPr>
          <w:rFonts w:ascii="David" w:hAnsi="David" w:cs="David"/>
          <w:rtl w:val="true"/>
        </w:rPr>
        <w:t>אף שקיים פער שווי מהותי בין השניים</w:t>
      </w:r>
      <w:r>
        <w:rPr>
          <w:rFonts w:cs="David" w:ascii="David" w:hAnsi="David"/>
          <w:rtl w:val="true"/>
        </w:rPr>
        <w:t xml:space="preserve">; </w:t>
      </w:r>
      <w:r>
        <w:rPr>
          <w:rFonts w:ascii="David" w:hAnsi="David" w:cs="David"/>
          <w:rtl w:val="true"/>
        </w:rPr>
        <w:t>חלק מן העסקאות חרגו מטווח הזמן הראוי להשוואה</w:t>
      </w:r>
      <w:r>
        <w:rPr>
          <w:rFonts w:cs="David" w:ascii="David" w:hAnsi="David"/>
          <w:rtl w:val="true"/>
        </w:rPr>
        <w:t xml:space="preserve">; </w:t>
      </w:r>
      <w:r>
        <w:rPr>
          <w:rFonts w:ascii="David" w:hAnsi="David" w:cs="David"/>
          <w:rtl w:val="true"/>
        </w:rPr>
        <w:t>והסתמכות על מכרזי רמ</w:t>
      </w:r>
      <w:r>
        <w:rPr>
          <w:rFonts w:cs="David" w:ascii="David" w:hAnsi="David"/>
          <w:rtl w:val="true"/>
        </w:rPr>
        <w:t>"</w:t>
      </w:r>
      <w:r>
        <w:rPr>
          <w:rFonts w:ascii="David" w:hAnsi="David" w:cs="David"/>
          <w:rtl w:val="true"/>
        </w:rPr>
        <w:t>י הייתה בלתי מתאימה בשל הבדלים ניכרים בהיקפי המסחר ובמאפייני הנכסים</w:t>
      </w:r>
      <w:r>
        <w:rPr>
          <w:rFonts w:cs="David" w:ascii="David" w:hAnsi="David"/>
          <w:rtl w:val="true"/>
        </w:rPr>
        <w:t xml:space="preserve">. </w:t>
      </w:r>
      <w:r>
        <w:rPr>
          <w:rFonts w:ascii="David" w:hAnsi="David" w:cs="David"/>
          <w:rtl w:val="true"/>
        </w:rPr>
        <w:t>עוד נטען כי בחלק מנתוני ההשוואה מתקבלת תוצאה שבה שווי בנוי נמוך מן השווי המבונה המשתמע מן השומה</w:t>
      </w:r>
      <w:r>
        <w:rPr>
          <w:rFonts w:cs="David" w:ascii="David" w:hAnsi="David"/>
          <w:rtl w:val="true"/>
        </w:rPr>
        <w:t xml:space="preserve">, </w:t>
      </w:r>
      <w:r>
        <w:rPr>
          <w:rFonts w:ascii="David" w:hAnsi="David" w:cs="David"/>
          <w:rtl w:val="true"/>
        </w:rPr>
        <w:t>תוצאה שלשיטת הוועדה אינה סבירה ומצביעה על פגם במתודולוגיית ההשוואה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דמרי מחזיקה בעמדה שונה ביחס לכלל הסוגיות שעל הפרק</w:t>
      </w:r>
      <w:r>
        <w:rPr>
          <w:rFonts w:cs="David" w:ascii="David" w:hAnsi="David"/>
          <w:rtl w:val="true"/>
        </w:rPr>
        <w:t xml:space="preserve">. </w:t>
      </w:r>
      <w:r>
        <w:rPr>
          <w:rFonts w:ascii="David" w:hAnsi="David" w:cs="David"/>
          <w:rtl w:val="true"/>
        </w:rPr>
        <w:t>לגישתה</w:t>
      </w:r>
      <w:r>
        <w:rPr>
          <w:rFonts w:cs="David" w:ascii="David" w:hAnsi="David"/>
          <w:rtl w:val="true"/>
        </w:rPr>
        <w:t xml:space="preserve">, </w:t>
      </w:r>
      <w:r>
        <w:rPr>
          <w:rFonts w:ascii="David" w:hAnsi="David" w:cs="David"/>
          <w:rtl w:val="true"/>
        </w:rPr>
        <w:t>בשומות המכריעות נפלו טעויות מהותיות המביאות לחיוב בהיטל השבחה שאינו משקף את ההתעשרות הכלכלית האמיתית שנוצרה עקב אישור התוכנית</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לגישתה</w:t>
      </w:r>
      <w:r>
        <w:rPr>
          <w:rFonts w:cs="David" w:ascii="David" w:hAnsi="David"/>
          <w:rtl w:val="true"/>
        </w:rPr>
        <w:t xml:space="preserve">, </w:t>
      </w:r>
      <w:r>
        <w:rPr>
          <w:rFonts w:ascii="David" w:hAnsi="David" w:cs="David"/>
          <w:rtl w:val="true"/>
        </w:rPr>
        <w:t>תקופת הדחייה בת חמש השנים שקבעה השמאית המכריעה קצרה ואינה סבירה ביחס למאפייניו של פרויקט פינוי ובינוי בהיקף שנקבע בתוכנית</w:t>
      </w:r>
      <w:r>
        <w:rPr>
          <w:rFonts w:cs="David" w:ascii="David" w:hAnsi="David"/>
          <w:rtl w:val="true"/>
        </w:rPr>
        <w:t xml:space="preserve">. </w:t>
      </w:r>
      <w:r>
        <w:rPr>
          <w:rFonts w:ascii="David" w:hAnsi="David" w:cs="David"/>
          <w:rtl w:val="true"/>
        </w:rPr>
        <w:t>בהקשר זה נטען כי ממועד אישור תוכנית ועד למימוש פרויקט מסוג זה נדרשים</w:t>
      </w:r>
      <w:r>
        <w:rPr>
          <w:rFonts w:cs="David" w:ascii="David" w:hAnsi="David"/>
          <w:rtl w:val="true"/>
        </w:rPr>
        <w:t xml:space="preserve">, </w:t>
      </w:r>
      <w:r>
        <w:rPr>
          <w:rFonts w:ascii="David" w:hAnsi="David" w:cs="David"/>
          <w:rtl w:val="true"/>
        </w:rPr>
        <w:t>בין היתר</w:t>
      </w:r>
      <w:r>
        <w:rPr>
          <w:rFonts w:cs="David" w:ascii="David" w:hAnsi="David"/>
          <w:rtl w:val="true"/>
        </w:rPr>
        <w:t xml:space="preserve">, </w:t>
      </w:r>
      <w:r>
        <w:rPr>
          <w:rFonts w:ascii="David" w:hAnsi="David" w:cs="David"/>
          <w:rtl w:val="true"/>
        </w:rPr>
        <w:t>השלמת ההתקשרויות עם בעלי הזכויות</w:t>
      </w:r>
      <w:r>
        <w:rPr>
          <w:rFonts w:cs="David" w:ascii="David" w:hAnsi="David"/>
          <w:rtl w:val="true"/>
        </w:rPr>
        <w:t xml:space="preserve">, </w:t>
      </w:r>
      <w:r>
        <w:rPr>
          <w:rFonts w:ascii="David" w:hAnsi="David" w:cs="David"/>
          <w:rtl w:val="true"/>
        </w:rPr>
        <w:t>הסכמות בדבר חלוקת הדירות</w:t>
      </w:r>
      <w:r>
        <w:rPr>
          <w:rFonts w:cs="David" w:ascii="David" w:hAnsi="David"/>
          <w:rtl w:val="true"/>
        </w:rPr>
        <w:t xml:space="preserve">, </w:t>
      </w:r>
      <w:r>
        <w:rPr>
          <w:rFonts w:ascii="David" w:hAnsi="David" w:cs="David"/>
          <w:rtl w:val="true"/>
        </w:rPr>
        <w:t>חתימה על מסמכי ליווי ושעבוד והתמודדות עם דיירים סרבנים</w:t>
      </w:r>
      <w:r>
        <w:rPr>
          <w:rFonts w:cs="David" w:ascii="David" w:hAnsi="David"/>
          <w:rtl w:val="true"/>
        </w:rPr>
        <w:t xml:space="preserve">; </w:t>
      </w:r>
      <w:r>
        <w:rPr>
          <w:rFonts w:ascii="David" w:hAnsi="David" w:cs="David"/>
          <w:rtl w:val="true"/>
        </w:rPr>
        <w:t>ובהתאם לשומות מכריעות ולפרויקטים אחרים יש להביא בחשבון תקופת דחייה של שש שנים לפחות</w:t>
      </w:r>
      <w:r>
        <w:rPr>
          <w:rFonts w:cs="David" w:ascii="David" w:hAnsi="David"/>
          <w:rtl w:val="true"/>
        </w:rPr>
        <w:t xml:space="preserve">. </w:t>
      </w:r>
      <w:r>
        <w:rPr>
          <w:rFonts w:ascii="David" w:hAnsi="David" w:cs="David"/>
          <w:rtl w:val="true"/>
        </w:rPr>
        <w:t>בענייננו יש בחשבון תקופה של שבע שנים</w:t>
      </w:r>
      <w:r>
        <w:rPr>
          <w:rFonts w:cs="David" w:ascii="David" w:hAnsi="David"/>
          <w:rtl w:val="true"/>
        </w:rPr>
        <w:t xml:space="preserve">, </w:t>
      </w:r>
      <w:r>
        <w:rPr>
          <w:rFonts w:ascii="David" w:hAnsi="David" w:cs="David"/>
          <w:rtl w:val="true"/>
        </w:rPr>
        <w:t>בין היתר בשל הקושי הייחודי שנוצר עקב שינוי מדיניות התמורות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לעניין זה טענה דמרי כי ההסכמים המקוריים עם בעלי הדירות נערכו על יסוד תמורות של תוספת עשרות מ</w:t>
      </w:r>
      <w:r>
        <w:rPr>
          <w:rFonts w:cs="David" w:ascii="David" w:hAnsi="David"/>
          <w:rtl w:val="true"/>
        </w:rPr>
        <w:t>"</w:t>
      </w:r>
      <w:r>
        <w:rPr>
          <w:rFonts w:ascii="David" w:hAnsi="David" w:cs="David"/>
          <w:rtl w:val="true"/>
        </w:rPr>
        <w:t>ר לדירה</w:t>
      </w:r>
      <w:r>
        <w:rPr>
          <w:rFonts w:cs="David" w:ascii="David" w:hAnsi="David"/>
          <w:rtl w:val="true"/>
        </w:rPr>
        <w:t xml:space="preserve">, </w:t>
      </w:r>
      <w:r>
        <w:rPr>
          <w:rFonts w:ascii="David" w:hAnsi="David" w:cs="David"/>
          <w:rtl w:val="true"/>
        </w:rPr>
        <w:t xml:space="preserve">בעוד שבעקבות מדיניות העירייה והתוכנית צומצמה התמורה לתוספת של </w:t>
      </w:r>
      <w:r>
        <w:rPr>
          <w:rFonts w:cs="David" w:ascii="David" w:hAnsi="David"/>
        </w:rPr>
        <w:t>12</w:t>
      </w:r>
      <w:r>
        <w:rPr>
          <w:rFonts w:cs="David" w:ascii="David" w:hAnsi="David"/>
          <w:rtl w:val="true"/>
        </w:rPr>
        <w:t xml:space="preserve"> </w:t>
      </w:r>
      <w:r>
        <w:rPr>
          <w:rFonts w:ascii="David" w:hAnsi="David" w:cs="David"/>
          <w:rtl w:val="true"/>
        </w:rPr>
        <w:t>מ</w:t>
      </w:r>
      <w:r>
        <w:rPr>
          <w:rFonts w:cs="David" w:ascii="David" w:hAnsi="David"/>
          <w:rtl w:val="true"/>
        </w:rPr>
        <w:t>"</w:t>
      </w:r>
      <w:r>
        <w:rPr>
          <w:rFonts w:ascii="David" w:hAnsi="David" w:cs="David"/>
          <w:rtl w:val="true"/>
        </w:rPr>
        <w:t>ר בלבד</w:t>
      </w:r>
      <w:r>
        <w:rPr>
          <w:rFonts w:cs="David" w:ascii="David" w:hAnsi="David"/>
          <w:rtl w:val="true"/>
        </w:rPr>
        <w:t xml:space="preserve">. </w:t>
      </w:r>
      <w:r>
        <w:rPr>
          <w:rFonts w:ascii="David" w:hAnsi="David" w:cs="David"/>
          <w:rtl w:val="true"/>
        </w:rPr>
        <w:t>שינוי מהותי זה חייב</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פתיחה מחודשת של מערכת ההסכמים</w:t>
      </w:r>
      <w:r>
        <w:rPr>
          <w:rFonts w:cs="David" w:ascii="David" w:hAnsi="David"/>
          <w:rtl w:val="true"/>
        </w:rPr>
        <w:t xml:space="preserve">, </w:t>
      </w:r>
      <w:r>
        <w:rPr>
          <w:rFonts w:ascii="David" w:hAnsi="David" w:cs="David"/>
          <w:rtl w:val="true"/>
        </w:rPr>
        <w:t>השגת הסכמות וחתימות מחודשות על נספחים</w:t>
      </w:r>
      <w:r>
        <w:rPr>
          <w:rFonts w:cs="David" w:ascii="David" w:hAnsi="David"/>
          <w:rtl w:val="true"/>
        </w:rPr>
        <w:t xml:space="preserve">, </w:t>
      </w:r>
      <w:r>
        <w:rPr>
          <w:rFonts w:ascii="David" w:hAnsi="David" w:cs="David"/>
          <w:rtl w:val="true"/>
        </w:rPr>
        <w:t>ובכך יצר גורם דחייה נוסף שלא ניתן להתעלם ממנו</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כמו כן</w:t>
      </w:r>
      <w:r>
        <w:rPr>
          <w:rFonts w:cs="David" w:ascii="David" w:hAnsi="David"/>
          <w:rtl w:val="true"/>
        </w:rPr>
        <w:t xml:space="preserve">, </w:t>
      </w:r>
      <w:r>
        <w:rPr>
          <w:rFonts w:ascii="David" w:hAnsi="David" w:cs="David"/>
          <w:rtl w:val="true"/>
        </w:rPr>
        <w:t>לגישת דמרי</w:t>
      </w:r>
      <w:r>
        <w:rPr>
          <w:rFonts w:cs="David" w:ascii="David" w:hAnsi="David"/>
          <w:rtl w:val="true"/>
        </w:rPr>
        <w:t xml:space="preserve">, </w:t>
      </w:r>
      <w:r>
        <w:rPr>
          <w:rFonts w:ascii="David" w:hAnsi="David" w:cs="David"/>
          <w:rtl w:val="true"/>
        </w:rPr>
        <w:t>אין להסיק משיעור החתימות כשלעצמו כי הפרויקט היה קרוב למימוש</w:t>
      </w:r>
      <w:r>
        <w:rPr>
          <w:rFonts w:cs="David" w:ascii="David" w:hAnsi="David"/>
          <w:rtl w:val="true"/>
        </w:rPr>
        <w:t xml:space="preserve">. </w:t>
      </w:r>
      <w:r>
        <w:rPr>
          <w:rFonts w:ascii="David" w:hAnsi="David" w:cs="David"/>
          <w:rtl w:val="true"/>
        </w:rPr>
        <w:t>בפרויקט פינוי ובינוי גם מיעוט של בעלי זכויות שלא הגיעו להסכמה עלול לעכב את המימוש במשך שנים</w:t>
      </w:r>
      <w:r>
        <w:rPr>
          <w:rFonts w:cs="David" w:ascii="David" w:hAnsi="David"/>
          <w:rtl w:val="true"/>
        </w:rPr>
        <w:t xml:space="preserve">; </w:t>
      </w:r>
      <w:r>
        <w:rPr>
          <w:rFonts w:ascii="David" w:hAnsi="David" w:cs="David"/>
          <w:rtl w:val="true"/>
        </w:rPr>
        <w:t>זאת לצד סיכונים נוספים שקונה סביר היה מביא בחשבון במועד הקובע</w:t>
      </w:r>
      <w:r>
        <w:rPr>
          <w:rFonts w:cs="David" w:ascii="David" w:hAnsi="David"/>
          <w:rtl w:val="true"/>
        </w:rPr>
        <w:t xml:space="preserve">, </w:t>
      </w:r>
      <w:r>
        <w:rPr>
          <w:rFonts w:ascii="David" w:hAnsi="David" w:cs="David"/>
          <w:rtl w:val="true"/>
        </w:rPr>
        <w:t>ובהם הליכים משפטיים מול סרבנים</w:t>
      </w:r>
      <w:r>
        <w:rPr>
          <w:rFonts w:cs="David" w:ascii="David" w:hAnsi="David"/>
          <w:rtl w:val="true"/>
        </w:rPr>
        <w:t xml:space="preserve">, </w:t>
      </w:r>
      <w:r>
        <w:rPr>
          <w:rFonts w:ascii="David" w:hAnsi="David" w:cs="David"/>
          <w:rtl w:val="true"/>
        </w:rPr>
        <w:t>שינויי פסיקה</w:t>
      </w:r>
      <w:r>
        <w:rPr>
          <w:rFonts w:cs="David" w:ascii="David" w:hAnsi="David"/>
          <w:rtl w:val="true"/>
        </w:rPr>
        <w:t xml:space="preserve">, </w:t>
      </w:r>
      <w:r>
        <w:rPr>
          <w:rFonts w:ascii="David" w:hAnsi="David" w:cs="David"/>
          <w:rtl w:val="true"/>
        </w:rPr>
        <w:t>שינוי בתנאי המימון והריבית</w:t>
      </w:r>
      <w:r>
        <w:rPr>
          <w:rFonts w:cs="David" w:ascii="David" w:hAnsi="David"/>
          <w:rtl w:val="true"/>
        </w:rPr>
        <w:t xml:space="preserve">, </w:t>
      </w:r>
      <w:r>
        <w:rPr>
          <w:rFonts w:ascii="David" w:hAnsi="David" w:cs="David"/>
          <w:rtl w:val="true"/>
        </w:rPr>
        <w:t>שלביות הביצוע ומורכבות הפרויקט</w:t>
      </w:r>
      <w:r>
        <w:rPr>
          <w:rFonts w:cs="David" w:ascii="David" w:hAnsi="David"/>
          <w:rtl w:val="true"/>
        </w:rPr>
        <w:t xml:space="preserve">. </w:t>
      </w:r>
      <w:r>
        <w:rPr>
          <w:rFonts w:ascii="David" w:hAnsi="David" w:cs="David"/>
          <w:rtl w:val="true"/>
        </w:rPr>
        <w:t>עוד נטען כי חלק מהחתימות שניתנו בעבר איבדו ממשמעותן בעקבות שינוי התמורות</w:t>
      </w:r>
      <w:r>
        <w:rPr>
          <w:rFonts w:cs="David" w:ascii="David" w:hAnsi="David"/>
          <w:rtl w:val="true"/>
        </w:rPr>
        <w:t xml:space="preserve">, </w:t>
      </w:r>
      <w:r>
        <w:rPr>
          <w:rFonts w:ascii="David" w:hAnsi="David" w:cs="David"/>
          <w:rtl w:val="true"/>
        </w:rPr>
        <w:t>כך שהצגת שיעור החתימות ללא בחינת תוקפן ותוכנן אינה משקפת את מצב הפרויקט לאשורו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דמרי הדגישה כי קביעת הדחייה חייבת להיעשות נכון למועד הקובע</w:t>
      </w:r>
      <w:r>
        <w:rPr>
          <w:rFonts w:cs="David" w:ascii="David" w:hAnsi="David"/>
          <w:rtl w:val="true"/>
        </w:rPr>
        <w:t xml:space="preserve">, </w:t>
      </w:r>
      <w:r>
        <w:rPr>
          <w:rFonts w:ascii="David" w:hAnsi="David" w:cs="David"/>
          <w:rtl w:val="true"/>
        </w:rPr>
        <w:t>על פי ציפיותיו של קונה סביר באותו מועד</w:t>
      </w:r>
      <w:r>
        <w:rPr>
          <w:rFonts w:cs="David" w:ascii="David" w:hAnsi="David"/>
          <w:rtl w:val="true"/>
        </w:rPr>
        <w:t xml:space="preserve">, </w:t>
      </w:r>
      <w:r>
        <w:rPr>
          <w:rFonts w:ascii="David" w:hAnsi="David" w:cs="David"/>
          <w:rtl w:val="true"/>
        </w:rPr>
        <w:t xml:space="preserve">ולא על יסוד </w:t>
      </w:r>
      <w:r>
        <w:rPr>
          <w:rFonts w:cs="David" w:ascii="David" w:hAnsi="David"/>
          <w:rtl w:val="true"/>
        </w:rPr>
        <w:t>"</w:t>
      </w:r>
      <w:r>
        <w:rPr>
          <w:rFonts w:ascii="David" w:hAnsi="David" w:cs="David"/>
          <w:rtl w:val="true"/>
        </w:rPr>
        <w:t>חוכמה בדיעבד</w:t>
      </w:r>
      <w:r>
        <w:rPr>
          <w:rFonts w:cs="David" w:ascii="David" w:hAnsi="David"/>
          <w:rtl w:val="true"/>
        </w:rPr>
        <w:t xml:space="preserve">". </w:t>
      </w:r>
      <w:r>
        <w:rPr>
          <w:rFonts w:ascii="David" w:hAnsi="David" w:cs="David"/>
          <w:rtl w:val="true"/>
        </w:rPr>
        <w:t>לפיכך</w:t>
      </w:r>
      <w:r>
        <w:rPr>
          <w:rFonts w:cs="David" w:ascii="David" w:hAnsi="David"/>
          <w:rtl w:val="true"/>
        </w:rPr>
        <w:t xml:space="preserve">, </w:t>
      </w:r>
      <w:r>
        <w:rPr>
          <w:rFonts w:ascii="David" w:hAnsi="David" w:cs="David"/>
          <w:rtl w:val="true"/>
        </w:rPr>
        <w:t>העובדה שבשלב מאוחר יותר קודם היתר חפירה או היתר בנייה אינה יכולה כשלעצמה לקצר בדיעבד את תקופת הדחייה שהיה מקום להניח במועד הקובע</w:t>
      </w:r>
      <w:r>
        <w:rPr>
          <w:rFonts w:cs="David" w:ascii="David" w:hAnsi="David"/>
          <w:rtl w:val="true"/>
        </w:rPr>
        <w:t xml:space="preserve">. </w:t>
      </w:r>
      <w:r>
        <w:rPr>
          <w:rFonts w:ascii="David" w:hAnsi="David" w:cs="David"/>
          <w:rtl w:val="true"/>
        </w:rPr>
        <w:t>בפרט נטען כי היתר החפירה והדיפון שעליו הסתמכה הוועדה המקומית לא מומש באותה עת בשל העדר הסכמות מלאות עם בעלי הזכויות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כמו כן</w:t>
      </w:r>
      <w:r>
        <w:rPr>
          <w:rFonts w:cs="David" w:ascii="David" w:hAnsi="David"/>
          <w:rtl w:val="true"/>
        </w:rPr>
        <w:t xml:space="preserve">, </w:t>
      </w:r>
      <w:r>
        <w:rPr>
          <w:rFonts w:ascii="David" w:hAnsi="David" w:cs="David"/>
          <w:rtl w:val="true"/>
        </w:rPr>
        <w:t>דמרי הפנתה לשומות מכריעות ולפרויקטים אחרים שבהם נקבעו מקדמי דחייה המשקפים תקופות ארוכות יותר</w:t>
      </w:r>
      <w:r>
        <w:rPr>
          <w:rFonts w:cs="David" w:ascii="David" w:hAnsi="David"/>
          <w:rtl w:val="true"/>
        </w:rPr>
        <w:t xml:space="preserve">, </w:t>
      </w:r>
      <w:r>
        <w:rPr>
          <w:rFonts w:ascii="David" w:hAnsi="David" w:cs="David"/>
          <w:rtl w:val="true"/>
        </w:rPr>
        <w:t>לרבות בפרויקטים שמספר יחידות הדיור בהם קטן מהמיזם דנן</w:t>
      </w:r>
      <w:r>
        <w:rPr>
          <w:rFonts w:cs="David" w:ascii="David" w:hAnsi="David"/>
          <w:rtl w:val="true"/>
        </w:rPr>
        <w:t xml:space="preserve">. </w:t>
      </w:r>
      <w:r>
        <w:rPr>
          <w:rFonts w:ascii="David" w:hAnsi="David" w:cs="David"/>
          <w:rtl w:val="true"/>
        </w:rPr>
        <w:t>בהקשר זה נטען כי גם הנמקתן הפנימית של השומות המכריעות אינה מתיישבת עם התוצאה של חמש שנות דחייה</w:t>
      </w:r>
      <w:r>
        <w:rPr>
          <w:rFonts w:cs="David" w:ascii="David" w:hAnsi="David"/>
          <w:rtl w:val="true"/>
        </w:rPr>
        <w:t xml:space="preserve">. </w:t>
      </w:r>
      <w:r>
        <w:rPr>
          <w:rFonts w:ascii="David" w:hAnsi="David" w:cs="David"/>
          <w:rtl w:val="true"/>
        </w:rPr>
        <w:t>השמאית המכריעה העריכה כי היתר הבנייה הראשון צפוי רק לאחר כ</w:t>
      </w:r>
      <w:r>
        <w:rPr>
          <w:rFonts w:cs="David" w:ascii="David" w:hAnsi="David"/>
          <w:rtl w:val="true"/>
        </w:rPr>
        <w:t>-</w:t>
      </w:r>
      <w:r>
        <w:rPr>
          <w:rFonts w:cs="David" w:ascii="David" w:hAnsi="David"/>
        </w:rPr>
        <w:t>4.5</w:t>
      </w:r>
      <w:r>
        <w:rPr>
          <w:rFonts w:cs="David" w:ascii="David" w:hAnsi="David"/>
          <w:rtl w:val="true"/>
        </w:rPr>
        <w:t xml:space="preserve"> </w:t>
      </w:r>
      <w:r>
        <w:rPr>
          <w:rFonts w:ascii="David" w:hAnsi="David" w:cs="David"/>
          <w:rtl w:val="true"/>
        </w:rPr>
        <w:t>שנים</w:t>
      </w:r>
      <w:r>
        <w:rPr>
          <w:rFonts w:cs="David" w:ascii="David" w:hAnsi="David"/>
          <w:rtl w:val="true"/>
        </w:rPr>
        <w:t xml:space="preserve">, </w:t>
      </w:r>
      <w:r>
        <w:rPr>
          <w:rFonts w:ascii="David" w:hAnsi="David" w:cs="David"/>
          <w:rtl w:val="true"/>
        </w:rPr>
        <w:t>ובמקביל הכירה בכך שמימוש מלוא המתחם נעשה בשלבים ומושפע מהיקף הבנייה</w:t>
      </w:r>
      <w:r>
        <w:rPr>
          <w:rFonts w:cs="David" w:ascii="David" w:hAnsi="David"/>
          <w:rtl w:val="true"/>
        </w:rPr>
        <w:t xml:space="preserve">, </w:t>
      </w:r>
      <w:r>
        <w:rPr>
          <w:rFonts w:ascii="David" w:hAnsi="David" w:cs="David"/>
          <w:rtl w:val="true"/>
        </w:rPr>
        <w:t>קצב המכירות</w:t>
      </w:r>
      <w:r>
        <w:rPr>
          <w:rFonts w:cs="David" w:ascii="David" w:hAnsi="David"/>
          <w:rtl w:val="true"/>
        </w:rPr>
        <w:t xml:space="preserve">, </w:t>
      </w:r>
      <w:r>
        <w:rPr>
          <w:rFonts w:ascii="David" w:hAnsi="David" w:cs="David"/>
          <w:rtl w:val="true"/>
        </w:rPr>
        <w:t>כוח האדם ותזרים המזומנים</w:t>
      </w:r>
      <w:r>
        <w:rPr>
          <w:rFonts w:cs="David" w:ascii="David" w:hAnsi="David"/>
          <w:rtl w:val="true"/>
        </w:rPr>
        <w:t xml:space="preserve">. </w:t>
      </w:r>
      <w:r>
        <w:rPr>
          <w:rFonts w:ascii="David" w:hAnsi="David" w:cs="David"/>
          <w:rtl w:val="true"/>
        </w:rPr>
        <w:t>לשיטת העוררים</w:t>
      </w:r>
      <w:r>
        <w:rPr>
          <w:rFonts w:cs="David" w:ascii="David" w:hAnsi="David"/>
          <w:rtl w:val="true"/>
        </w:rPr>
        <w:t xml:space="preserve">, </w:t>
      </w:r>
      <w:r>
        <w:rPr>
          <w:rFonts w:ascii="David" w:hAnsi="David" w:cs="David"/>
          <w:rtl w:val="true"/>
        </w:rPr>
        <w:t xml:space="preserve">אם היתר ראשון צפוי רק לאחר </w:t>
      </w:r>
      <w:r>
        <w:rPr>
          <w:rFonts w:cs="David" w:ascii="David" w:hAnsi="David"/>
        </w:rPr>
        <w:t>4.5</w:t>
      </w:r>
      <w:r>
        <w:rPr>
          <w:rFonts w:cs="David" w:ascii="David" w:hAnsi="David"/>
          <w:rtl w:val="true"/>
        </w:rPr>
        <w:t xml:space="preserve"> </w:t>
      </w:r>
      <w:r>
        <w:rPr>
          <w:rFonts w:ascii="David" w:hAnsi="David" w:cs="David"/>
          <w:rtl w:val="true"/>
        </w:rPr>
        <w:t>שנים ומימוש הפרויקט כולו נעשה בשלבים</w:t>
      </w:r>
      <w:r>
        <w:rPr>
          <w:rFonts w:cs="David" w:ascii="David" w:hAnsi="David"/>
          <w:rtl w:val="true"/>
        </w:rPr>
        <w:t xml:space="preserve">, </w:t>
      </w:r>
      <w:r>
        <w:rPr>
          <w:rFonts w:ascii="David" w:hAnsi="David" w:cs="David"/>
          <w:rtl w:val="true"/>
        </w:rPr>
        <w:t>אין הסבר מספק לכך שתקופת המימוש הממוצעת של מלוא הזכויות הועמדה על חמש שנים בלבד</w:t>
      </w:r>
      <w:r>
        <w:rPr>
          <w:rFonts w:cs="David" w:ascii="David" w:hAnsi="David"/>
          <w:rtl w:val="true"/>
        </w:rPr>
        <w:t xml:space="preserve">. </w:t>
      </w:r>
      <w:r>
        <w:rPr>
          <w:rFonts w:ascii="David" w:hAnsi="David" w:cs="David"/>
          <w:rtl w:val="true"/>
        </w:rPr>
        <w:t>מטעם זה טענו כי אף קביעתה של השמאית המכריעה עצמה תומכת למעשה בתקופת דחייה ארוכה יותר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בכל הנוגע למתודולוגיית חישוב ההשבחה</w:t>
      </w:r>
      <w:r>
        <w:rPr>
          <w:rFonts w:cs="David" w:ascii="David" w:hAnsi="David"/>
          <w:rtl w:val="true"/>
        </w:rPr>
        <w:t xml:space="preserve">, </w:t>
      </w:r>
      <w:r>
        <w:rPr>
          <w:rFonts w:ascii="David" w:hAnsi="David" w:cs="David"/>
          <w:rtl w:val="true"/>
        </w:rPr>
        <w:t>עמדתה של דמרי היא שקיימים קשיים מתודולוגיים בגישה המשתקפת מגישת הוועדה המקומית</w:t>
      </w:r>
      <w:r>
        <w:rPr>
          <w:rFonts w:cs="David" w:ascii="David" w:hAnsi="David"/>
          <w:rtl w:val="true"/>
        </w:rPr>
        <w:t xml:space="preserve">, </w:t>
      </w:r>
      <w:r>
        <w:rPr>
          <w:rFonts w:ascii="David" w:hAnsi="David" w:cs="David"/>
          <w:rtl w:val="true"/>
        </w:rPr>
        <w:t>ובפרט בהנחה שלפיה התוכנית בהכרח יוצרת השבחה חיובית</w:t>
      </w:r>
      <w:r>
        <w:rPr>
          <w:rFonts w:cs="David" w:ascii="David" w:hAnsi="David"/>
          <w:rtl w:val="true"/>
        </w:rPr>
        <w:t xml:space="preserve">. </w:t>
      </w:r>
      <w:r>
        <w:rPr>
          <w:rFonts w:ascii="David" w:hAnsi="David" w:cs="David"/>
          <w:rtl w:val="true"/>
        </w:rPr>
        <w:t>דמרי הדגישה כי תוכנית עשויה להיות בלתי</w:t>
      </w:r>
      <w:r>
        <w:rPr>
          <w:rFonts w:cs="David" w:ascii="David" w:hAnsi="David"/>
          <w:rtl w:val="true"/>
        </w:rPr>
        <w:t>-</w:t>
      </w:r>
      <w:r>
        <w:rPr>
          <w:rFonts w:ascii="David" w:hAnsi="David" w:cs="David"/>
          <w:rtl w:val="true"/>
        </w:rPr>
        <w:t>כלכלית במועד הקובע מבלי שתיחשב לתוכנית פוגעת</w:t>
      </w:r>
      <w:r>
        <w:rPr>
          <w:rFonts w:cs="David" w:ascii="David" w:hAnsi="David"/>
          <w:rtl w:val="true"/>
        </w:rPr>
        <w:t xml:space="preserve">, </w:t>
      </w:r>
      <w:r>
        <w:rPr>
          <w:rFonts w:ascii="David" w:hAnsi="David" w:cs="David"/>
          <w:rtl w:val="true"/>
        </w:rPr>
        <w:t>ואף עשויה להפוך לכלכלית רק בחלוף שנים עקב שינוי מחירי השוק</w:t>
      </w:r>
      <w:r>
        <w:rPr>
          <w:rFonts w:cs="David" w:ascii="David" w:hAnsi="David"/>
          <w:rtl w:val="true"/>
        </w:rPr>
        <w:t xml:space="preserve">. </w:t>
      </w:r>
      <w:r>
        <w:rPr>
          <w:rFonts w:ascii="David" w:hAnsi="David" w:cs="David"/>
          <w:rtl w:val="true"/>
        </w:rPr>
        <w:t>מכאן שאין להניח מראש כי כל תוכנית פינוי ובינוי יוצרת במועד אישורה ערך כלכלי חיובי המצדיק היטל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רקע זה העדיפה דמרי את הגישה המיוחסת לפסק הדין שניתן ב</w:t>
      </w:r>
      <w:hyperlink r:id="rId13">
        <w:r>
          <w:rPr>
            <w:rStyle w:val="Hyperlink"/>
            <w:rFonts w:ascii="David" w:hAnsi="David" w:cs="David"/>
            <w:color w:val="0000FF"/>
            <w:u w:val="single"/>
            <w:rtl w:val="true"/>
          </w:rPr>
          <w:t>עמ</w:t>
        </w:r>
        <w:r>
          <w:rPr>
            <w:rStyle w:val="Hyperlink"/>
            <w:rFonts w:cs="David" w:ascii="David" w:hAnsi="David"/>
            <w:color w:val="0000FF"/>
            <w:u w:val="single"/>
            <w:rtl w:val="true"/>
          </w:rPr>
          <w:t>"</w:t>
        </w:r>
        <w:r>
          <w:rPr>
            <w:rStyle w:val="Hyperlink"/>
            <w:rFonts w:ascii="David" w:hAnsi="David" w:cs="David"/>
            <w:color w:val="0000FF"/>
            <w:u w:val="single"/>
            <w:rtl w:val="true"/>
          </w:rPr>
          <w:t xml:space="preserve">נ </w:t>
        </w:r>
        <w:r>
          <w:rPr>
            <w:rStyle w:val="Hyperlink"/>
            <w:rFonts w:cs="David" w:ascii="David" w:hAnsi="David"/>
            <w:color w:val="0000FF"/>
            <w:u w:val="single"/>
            <w:rtl w:val="true"/>
          </w:rPr>
          <w:t>(</w:t>
        </w:r>
        <w:r>
          <w:rPr>
            <w:rStyle w:val="Hyperlink"/>
            <w:rFonts w:ascii="David" w:hAnsi="David" w:cs="David"/>
            <w:color w:val="0000FF"/>
            <w:u w:val="single"/>
            <w:rtl w:val="true"/>
          </w:rPr>
          <w:t>מינהליים ת</w:t>
        </w:r>
        <w:r>
          <w:rPr>
            <w:rStyle w:val="Hyperlink"/>
            <w:rFonts w:cs="David" w:ascii="David" w:hAnsi="David"/>
            <w:color w:val="0000FF"/>
            <w:u w:val="single"/>
            <w:rtl w:val="true"/>
          </w:rPr>
          <w:t>"</w:t>
        </w:r>
        <w:r>
          <w:rPr>
            <w:rStyle w:val="Hyperlink"/>
            <w:rFonts w:ascii="David" w:hAnsi="David" w:cs="David"/>
            <w:color w:val="0000FF"/>
            <w:u w:val="single"/>
            <w:rtl w:val="true"/>
          </w:rPr>
          <w:t>א</w:t>
        </w:r>
        <w:r>
          <w:rPr>
            <w:rStyle w:val="Hyperlink"/>
            <w:rFonts w:cs="David" w:ascii="David" w:hAnsi="David"/>
            <w:color w:val="0000FF"/>
            <w:u w:val="single"/>
            <w:rtl w:val="true"/>
          </w:rPr>
          <w:t xml:space="preserve">) </w:t>
        </w:r>
        <w:r>
          <w:rPr>
            <w:rStyle w:val="Hyperlink"/>
            <w:rFonts w:cs="David" w:ascii="David" w:hAnsi="David"/>
            <w:color w:val="0000FF"/>
            <w:u w:val="single"/>
          </w:rPr>
          <w:t>55750-12-21</w:t>
        </w:r>
      </w:hyperlink>
      <w:r>
        <w:rPr>
          <w:rFonts w:cs="David" w:ascii="David" w:hAnsi="David"/>
          <w:rtl w:val="true"/>
        </w:rPr>
        <w:t xml:space="preserve"> </w:t>
      </w:r>
      <w:r>
        <w:rPr>
          <w:rFonts w:ascii="Miriam" w:hAnsi="Miriam" w:cs="Miriam"/>
          <w:rtl w:val="true"/>
        </w:rPr>
        <w:t>הוועדה המקומית לתכנון ובניה גבעתיים נ</w:t>
      </w:r>
      <w:r>
        <w:rPr>
          <w:rFonts w:cs="Miriam" w:ascii="Miriam" w:hAnsi="Miriam"/>
          <w:rtl w:val="true"/>
        </w:rPr>
        <w:t xml:space="preserve">' </w:t>
      </w:r>
      <w:r>
        <w:rPr>
          <w:rFonts w:ascii="Miriam" w:hAnsi="Miriam" w:cs="Miriam"/>
          <w:rtl w:val="true"/>
        </w:rPr>
        <w:t>טבצ</w:t>
      </w:r>
      <w:r>
        <w:rPr>
          <w:rFonts w:cs="Miriam" w:ascii="Miriam" w:hAnsi="Miriam"/>
          <w:rtl w:val="true"/>
        </w:rPr>
        <w:t>'</w:t>
      </w:r>
      <w:r>
        <w:rPr>
          <w:rFonts w:ascii="Miriam" w:hAnsi="Miriam" w:cs="Miriam"/>
          <w:rtl w:val="true"/>
        </w:rPr>
        <w:t>ניק אבריל שרי</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18.1.2023</w:t>
      </w:r>
      <w:r>
        <w:rPr>
          <w:rFonts w:cs="David" w:ascii="David" w:hAnsi="David"/>
          <w:rtl w:val="true"/>
        </w:rPr>
        <w:t xml:space="preserve">), </w:t>
      </w:r>
      <w:r>
        <w:rPr>
          <w:rFonts w:ascii="David" w:hAnsi="David" w:cs="David"/>
          <w:rtl w:val="true"/>
        </w:rPr>
        <w:t>שלפיה יש לבחון את עליית שווי המקרקעין עקב התוכנית</w:t>
      </w:r>
      <w:r>
        <w:rPr>
          <w:rFonts w:cs="David" w:ascii="David" w:hAnsi="David"/>
          <w:rtl w:val="true"/>
        </w:rPr>
        <w:t xml:space="preserve">, </w:t>
      </w:r>
      <w:r>
        <w:rPr>
          <w:rFonts w:ascii="David" w:hAnsi="David" w:cs="David"/>
          <w:rtl w:val="true"/>
        </w:rPr>
        <w:t>ללא הוספת דמי השימוש שמקורם במצב הקודם</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העובדה שקונה עשוי לייחס ערך גם להכנסות ביניים אינה מלמדת בהכרח כי אותו ערך הוא השבחה שניתן למסותה במסגרת אירוע המס התכנוני</w:t>
      </w:r>
      <w:r>
        <w:rPr>
          <w:rFonts w:cs="David" w:ascii="David" w:hAnsi="David"/>
          <w:rtl w:val="true"/>
        </w:rPr>
        <w:t xml:space="preserve">. </w:t>
      </w:r>
      <w:r>
        <w:rPr>
          <w:rFonts w:ascii="David" w:hAnsi="David" w:cs="David"/>
          <w:rtl w:val="true"/>
        </w:rPr>
        <w:t>דמרי הזהירה כי הוספת דמי השימוש עלולה להביא למצב שבו ההיטל נגבה</w:t>
      </w:r>
      <w:r>
        <w:rPr>
          <w:rFonts w:cs="David" w:ascii="David" w:hAnsi="David"/>
          <w:rtl w:val="true"/>
        </w:rPr>
        <w:t xml:space="preserve">, </w:t>
      </w:r>
      <w:r>
        <w:rPr>
          <w:rFonts w:ascii="David" w:hAnsi="David" w:cs="David"/>
          <w:rtl w:val="true"/>
        </w:rPr>
        <w:t>הלכה למעשה</w:t>
      </w:r>
      <w:r>
        <w:rPr>
          <w:rFonts w:cs="David" w:ascii="David" w:hAnsi="David"/>
          <w:rtl w:val="true"/>
        </w:rPr>
        <w:t xml:space="preserve">, </w:t>
      </w:r>
      <w:r>
        <w:rPr>
          <w:rFonts w:ascii="David" w:hAnsi="David" w:cs="David"/>
          <w:rtl w:val="true"/>
        </w:rPr>
        <w:t>בגין פירותיהן של זכויות שכבר היו קיימות קודם לאישור התוכנית המשביחה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נוסף על כך</w:t>
      </w:r>
      <w:r>
        <w:rPr>
          <w:rFonts w:cs="David" w:ascii="David" w:hAnsi="David"/>
          <w:rtl w:val="true"/>
        </w:rPr>
        <w:t xml:space="preserve">, </w:t>
      </w:r>
      <w:r>
        <w:rPr>
          <w:rFonts w:ascii="David" w:hAnsi="David" w:cs="David"/>
          <w:rtl w:val="true"/>
        </w:rPr>
        <w:t>דמרי ביקשה לבחון את תוצאת שומת היטל ההשבחה גם אל מול הבדיקה הכלכלית שנערכה לצורך אישורה של התוכנית</w:t>
      </w:r>
      <w:r>
        <w:rPr>
          <w:rFonts w:cs="David" w:ascii="David" w:hAnsi="David"/>
          <w:rtl w:val="true"/>
        </w:rPr>
        <w:t xml:space="preserve">. </w:t>
      </w:r>
      <w:r>
        <w:rPr>
          <w:rFonts w:ascii="David" w:hAnsi="David" w:cs="David"/>
          <w:rtl w:val="true"/>
        </w:rPr>
        <w:t>לטענתה</w:t>
      </w:r>
      <w:r>
        <w:rPr>
          <w:rFonts w:cs="David" w:ascii="David" w:hAnsi="David"/>
          <w:rtl w:val="true"/>
        </w:rPr>
        <w:t xml:space="preserve">, </w:t>
      </w:r>
      <w:r>
        <w:rPr>
          <w:rFonts w:ascii="David" w:hAnsi="David" w:cs="David"/>
          <w:rtl w:val="true"/>
        </w:rPr>
        <w:t xml:space="preserve">תקן </w:t>
      </w:r>
      <w:r>
        <w:rPr>
          <w:rFonts w:cs="David" w:ascii="David" w:hAnsi="David"/>
        </w:rPr>
        <w:t>21</w:t>
      </w:r>
      <w:r>
        <w:rPr>
          <w:rFonts w:cs="David" w:ascii="David" w:hAnsi="David"/>
          <w:rtl w:val="true"/>
        </w:rPr>
        <w:t xml:space="preserve"> </w:t>
      </w:r>
      <w:r>
        <w:rPr>
          <w:rFonts w:ascii="David" w:hAnsi="David" w:cs="David"/>
          <w:rtl w:val="true"/>
        </w:rPr>
        <w:t>נועד לבחון את היקף הזכויות הדרוש כדי להעמיד את הפרויקט על רווחיות יזמית נדרשת</w:t>
      </w:r>
      <w:r>
        <w:rPr>
          <w:rFonts w:cs="David" w:ascii="David" w:hAnsi="David"/>
          <w:rtl w:val="true"/>
        </w:rPr>
        <w:t xml:space="preserve">, </w:t>
      </w:r>
      <w:r>
        <w:rPr>
          <w:rFonts w:ascii="David" w:hAnsi="David" w:cs="David"/>
          <w:rtl w:val="true"/>
        </w:rPr>
        <w:t>ובמקרה הנדון התחשיב שאושר במסגרת ההליך התכנוני שיקף היטל השבחה בסדר גודל של כ</w:t>
      </w:r>
      <w:r>
        <w:rPr>
          <w:rFonts w:cs="David" w:ascii="David" w:hAnsi="David"/>
          <w:rtl w:val="true"/>
        </w:rPr>
        <w:t>-</w:t>
      </w:r>
      <w:r>
        <w:rPr>
          <w:rFonts w:cs="David" w:ascii="David" w:hAnsi="David"/>
        </w:rPr>
        <w:t>9</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לפיכך</w:t>
      </w:r>
      <w:r>
        <w:rPr>
          <w:rFonts w:cs="David" w:ascii="David" w:hAnsi="David"/>
          <w:rtl w:val="true"/>
        </w:rPr>
        <w:t xml:space="preserve">, </w:t>
      </w:r>
      <w:r>
        <w:rPr>
          <w:rFonts w:ascii="David" w:hAnsi="David" w:cs="David"/>
          <w:rtl w:val="true"/>
        </w:rPr>
        <w:t>דרישת היטל הגבוהה ממנו בסדרי גודל משמעותיים מעוררת קושי</w:t>
      </w:r>
      <w:r>
        <w:rPr>
          <w:rFonts w:cs="David" w:ascii="David" w:hAnsi="David"/>
          <w:rtl w:val="true"/>
        </w:rPr>
        <w:t xml:space="preserve">: </w:t>
      </w:r>
      <w:r>
        <w:rPr>
          <w:rFonts w:ascii="David" w:hAnsi="David" w:cs="David"/>
          <w:rtl w:val="true"/>
        </w:rPr>
        <w:t>אילו היטל כזה היה מוכנס מלכתחילה למשוואת הכדאיות</w:t>
      </w:r>
      <w:r>
        <w:rPr>
          <w:rFonts w:cs="David" w:ascii="David" w:hAnsi="David"/>
          <w:rtl w:val="true"/>
        </w:rPr>
        <w:t xml:space="preserve">, </w:t>
      </w:r>
      <w:r>
        <w:rPr>
          <w:rFonts w:ascii="David" w:hAnsi="David" w:cs="David"/>
          <w:rtl w:val="true"/>
        </w:rPr>
        <w:t>היה נדרש לכאורה להקצות לפרויקט זכויות נוספות כדי לשמר את אותה רווחיות יזמית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לשיטת דמרי</w:t>
      </w:r>
      <w:r>
        <w:rPr>
          <w:rFonts w:cs="David" w:ascii="David" w:hAnsi="David"/>
          <w:rtl w:val="true"/>
        </w:rPr>
        <w:t xml:space="preserve">, </w:t>
      </w:r>
      <w:r>
        <w:rPr>
          <w:rFonts w:ascii="David" w:hAnsi="David" w:cs="David"/>
          <w:rtl w:val="true"/>
        </w:rPr>
        <w:t>אין לנתק לחלוטין בין שני המישורים</w:t>
      </w:r>
      <w:r>
        <w:rPr>
          <w:rFonts w:cs="David" w:ascii="David" w:hAnsi="David"/>
          <w:rtl w:val="true"/>
        </w:rPr>
        <w:t xml:space="preserve">. </w:t>
      </w:r>
      <w:r>
        <w:rPr>
          <w:rFonts w:ascii="David" w:hAnsi="David" w:cs="David"/>
          <w:rtl w:val="true"/>
        </w:rPr>
        <w:t>תוכנית פינוי ובינוי מתוכננת על בסיס איזון כלכלי מסוים בין זכויות הבנייה</w:t>
      </w:r>
      <w:r>
        <w:rPr>
          <w:rFonts w:cs="David" w:ascii="David" w:hAnsi="David"/>
          <w:rtl w:val="true"/>
        </w:rPr>
        <w:t xml:space="preserve">, </w:t>
      </w:r>
      <w:r>
        <w:rPr>
          <w:rFonts w:ascii="David" w:hAnsi="David" w:cs="David"/>
          <w:rtl w:val="true"/>
        </w:rPr>
        <w:t>התמורות לדיירים</w:t>
      </w:r>
      <w:r>
        <w:rPr>
          <w:rFonts w:cs="David" w:ascii="David" w:hAnsi="David"/>
          <w:rtl w:val="true"/>
        </w:rPr>
        <w:t xml:space="preserve">, </w:t>
      </w:r>
      <w:r>
        <w:rPr>
          <w:rFonts w:ascii="David" w:hAnsi="David" w:cs="David"/>
          <w:rtl w:val="true"/>
        </w:rPr>
        <w:t>עלויות הפרויקט</w:t>
      </w:r>
      <w:r>
        <w:rPr>
          <w:rFonts w:cs="David" w:ascii="David" w:hAnsi="David"/>
          <w:rtl w:val="true"/>
        </w:rPr>
        <w:t xml:space="preserve">, </w:t>
      </w:r>
      <w:r>
        <w:rPr>
          <w:rFonts w:ascii="David" w:hAnsi="David" w:cs="David"/>
          <w:rtl w:val="true"/>
        </w:rPr>
        <w:t>היטל ההשבחה והרווח היזמי</w:t>
      </w:r>
      <w:r>
        <w:rPr>
          <w:rFonts w:cs="David" w:ascii="David" w:hAnsi="David"/>
          <w:rtl w:val="true"/>
        </w:rPr>
        <w:t xml:space="preserve">. </w:t>
      </w:r>
      <w:r>
        <w:rPr>
          <w:rFonts w:ascii="David" w:hAnsi="David" w:cs="David"/>
          <w:rtl w:val="true"/>
        </w:rPr>
        <w:t>אם לאחר אישור התוכנית נקבע היטל הגבוה באופן ניכר מזה שעליו התבססה הבדיקה הכלכלית</w:t>
      </w:r>
      <w:r>
        <w:rPr>
          <w:rFonts w:cs="David" w:ascii="David" w:hAnsi="David"/>
          <w:rtl w:val="true"/>
        </w:rPr>
        <w:t xml:space="preserve">, </w:t>
      </w:r>
      <w:r>
        <w:rPr>
          <w:rFonts w:ascii="David" w:hAnsi="David" w:cs="David"/>
          <w:rtl w:val="true"/>
        </w:rPr>
        <w:t>עלול להיווצר כשל פנימי שבו אותה תוכנית שאושרה מתוך הנחה שהיא בת</w:t>
      </w:r>
      <w:r>
        <w:rPr>
          <w:rFonts w:cs="David" w:ascii="David" w:hAnsi="David"/>
          <w:rtl w:val="true"/>
        </w:rPr>
        <w:t>-</w:t>
      </w:r>
      <w:r>
        <w:rPr>
          <w:rFonts w:ascii="David" w:hAnsi="David" w:cs="David"/>
          <w:rtl w:val="true"/>
        </w:rPr>
        <w:t>מימוש הופכת לבלתי</w:t>
      </w:r>
      <w:r>
        <w:rPr>
          <w:rFonts w:cs="David" w:ascii="David" w:hAnsi="David"/>
          <w:rtl w:val="true"/>
        </w:rPr>
        <w:t>-</w:t>
      </w:r>
      <w:r>
        <w:rPr>
          <w:rFonts w:ascii="David" w:hAnsi="David" w:cs="David"/>
          <w:rtl w:val="true"/>
        </w:rPr>
        <w:t>כלכלית בשל אופן חישוב ההיטל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נוסף על כך</w:t>
      </w:r>
      <w:r>
        <w:rPr>
          <w:rFonts w:cs="David" w:ascii="David" w:hAnsi="David"/>
          <w:rtl w:val="true"/>
        </w:rPr>
        <w:t xml:space="preserve">, </w:t>
      </w:r>
      <w:r>
        <w:rPr>
          <w:rFonts w:ascii="David" w:hAnsi="David" w:cs="David"/>
          <w:rtl w:val="true"/>
        </w:rPr>
        <w:t>דמרי טענה כי השמאית המכריעה שגתה כאשר נמנעה מלהביא בחשבון את תרומתה של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לשווי המקרקעין במצב הקודם</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גישה זו אינה מתיישבת עם פסק דינו של בית המשפט העליון ב</w:t>
      </w:r>
      <w:hyperlink r:id="rId14">
        <w:r>
          <w:rPr>
            <w:rStyle w:val="Hyperlink"/>
            <w:rFonts w:ascii="David" w:hAnsi="David" w:cs="David"/>
            <w:color w:val="0000FF"/>
            <w:u w:val="single"/>
            <w:rtl w:val="true"/>
          </w:rPr>
          <w:t>בר</w:t>
        </w:r>
        <w:r>
          <w:rPr>
            <w:rStyle w:val="Hyperlink"/>
            <w:rFonts w:cs="David" w:ascii="David" w:hAnsi="David"/>
            <w:color w:val="0000FF"/>
            <w:u w:val="single"/>
            <w:rtl w:val="true"/>
          </w:rPr>
          <w:t>"</w:t>
        </w:r>
        <w:r>
          <w:rPr>
            <w:rStyle w:val="Hyperlink"/>
            <w:rFonts w:ascii="David" w:hAnsi="David" w:cs="David"/>
            <w:color w:val="0000FF"/>
            <w:u w:val="single"/>
            <w:rtl w:val="true"/>
          </w:rPr>
          <w:t xml:space="preserve">מ </w:t>
        </w:r>
        <w:r>
          <w:rPr>
            <w:rStyle w:val="Hyperlink"/>
            <w:rFonts w:cs="David" w:ascii="David" w:hAnsi="David"/>
            <w:color w:val="0000FF"/>
            <w:u w:val="single"/>
          </w:rPr>
          <w:t>25226-04-25</w:t>
        </w:r>
      </w:hyperlink>
      <w:r>
        <w:rPr>
          <w:rFonts w:cs="David" w:ascii="David" w:hAnsi="David"/>
          <w:rtl w:val="true"/>
        </w:rPr>
        <w:t xml:space="preserve"> </w:t>
      </w:r>
      <w:r>
        <w:rPr>
          <w:rFonts w:ascii="Miriam" w:hAnsi="Miriam" w:cs="Miriam"/>
          <w:rtl w:val="true"/>
        </w:rPr>
        <w:t>הוועדה המקומית לתכנון ובניה תל אביב נ</w:t>
      </w:r>
      <w:r>
        <w:rPr>
          <w:rFonts w:cs="Miriam" w:ascii="Miriam" w:hAnsi="Miriam"/>
          <w:rtl w:val="true"/>
        </w:rPr>
        <w:t xml:space="preserve">' </w:t>
      </w:r>
      <w:r>
        <w:rPr>
          <w:rFonts w:ascii="Miriam" w:hAnsi="Miriam" w:cs="Miriam"/>
          <w:rtl w:val="true"/>
        </w:rPr>
        <w:t xml:space="preserve">לויתן אדיב שמואל </w:t>
      </w:r>
      <w:r>
        <w:rPr>
          <w:rFonts w:cs="Miriam" w:ascii="Miriam" w:hAnsi="Miriam"/>
          <w:rtl w:val="true"/>
        </w:rPr>
        <w:t>(</w:t>
      </w:r>
      <w:r>
        <w:rPr>
          <w:rFonts w:ascii="Miriam" w:hAnsi="Miriam" w:cs="Miriam"/>
          <w:rtl w:val="true"/>
        </w:rPr>
        <w:t>אדווין סמואל</w:t>
      </w:r>
      <w:r>
        <w:rPr>
          <w:rFonts w:cs="Miriam" w:ascii="Miriam" w:hAnsi="Miriam"/>
          <w:rtl w:val="true"/>
        </w:rPr>
        <w:t>)</w:t>
      </w:r>
      <w:r>
        <w:rPr>
          <w:rFonts w:cs="David" w:ascii="David" w:hAnsi="David"/>
          <w:rtl w:val="true"/>
        </w:rPr>
        <w:t xml:space="preserve"> (</w:t>
      </w:r>
      <w:r>
        <w:rPr>
          <w:rFonts w:ascii="David" w:hAnsi="David" w:cs="David"/>
          <w:rtl w:val="true"/>
        </w:rPr>
        <w:t xml:space="preserve">נבו </w:t>
      </w:r>
      <w:r>
        <w:rPr>
          <w:rFonts w:cs="David" w:ascii="David" w:hAnsi="David"/>
        </w:rPr>
        <w:t>16.10.2025</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עניין לויתן</w:t>
      </w:r>
      <w:r>
        <w:rPr>
          <w:rFonts w:cs="David" w:ascii="David" w:hAnsi="David"/>
          <w:rtl w:val="true"/>
        </w:rPr>
        <w:t xml:space="preserve">"), </w:t>
      </w:r>
      <w:r>
        <w:rPr>
          <w:rFonts w:ascii="David" w:hAnsi="David" w:cs="David"/>
          <w:rtl w:val="true"/>
        </w:rPr>
        <w:t>שלפיה אין לנטרל את תרומת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משווי המצב הקודם</w:t>
      </w:r>
      <w:r>
        <w:rPr>
          <w:rFonts w:cs="David" w:ascii="David" w:hAnsi="David"/>
          <w:rtl w:val="true"/>
        </w:rPr>
        <w:t xml:space="preserve">, </w:t>
      </w:r>
      <w:r>
        <w:rPr>
          <w:rFonts w:ascii="David" w:hAnsi="David" w:cs="David"/>
          <w:rtl w:val="true"/>
        </w:rPr>
        <w:t>ויש לבחון שמאית את השפעתה על ציפיות השוק ועל המחיר שהיה משולם בעסקה בין מוכר מרצון לקונה מרצון</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לשיטתה</w:t>
      </w:r>
      <w:r>
        <w:rPr>
          <w:rFonts w:cs="David" w:ascii="David" w:hAnsi="David"/>
          <w:rtl w:val="true"/>
        </w:rPr>
        <w:t xml:space="preserve">, </w:t>
      </w:r>
      <w:r>
        <w:rPr>
          <w:rFonts w:ascii="David" w:hAnsi="David" w:cs="David"/>
          <w:rtl w:val="true"/>
        </w:rPr>
        <w:t>המבחן הקובע הוא מבחן שווי השוק</w:t>
      </w:r>
      <w:r>
        <w:rPr>
          <w:rFonts w:cs="David" w:ascii="David" w:hAnsi="David"/>
          <w:rtl w:val="true"/>
        </w:rPr>
        <w:t xml:space="preserve">. </w:t>
      </w:r>
      <w:r>
        <w:rPr>
          <w:rFonts w:ascii="David" w:hAnsi="David" w:cs="David"/>
          <w:rtl w:val="true"/>
        </w:rPr>
        <w:t>ככל שבמועד הקובע קונה סביר היה מייחס ערך לאפשרות לממש זכויות מכוח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יש לשקף ערך זה בשווי המצב הקודם</w:t>
      </w:r>
      <w:r>
        <w:rPr>
          <w:rFonts w:cs="David" w:ascii="David" w:hAnsi="David"/>
          <w:rtl w:val="true"/>
        </w:rPr>
        <w:t xml:space="preserve">. </w:t>
      </w:r>
    </w:p>
    <w:p>
      <w:pPr>
        <w:pStyle w:val="Heading1"/>
        <w:suppressLineNumbers/>
        <w:spacing w:lineRule="auto" w:line="360" w:before="240" w:after="240"/>
        <w:ind w:firstLine="510" w:end="0"/>
        <w:jc w:val="start"/>
        <w:rPr/>
      </w:pPr>
      <w:r>
        <w:rPr>
          <w:rtl w:val="true"/>
        </w:rPr>
        <w:t>דיון והכרעה</w:t>
      </w:r>
    </w:p>
    <w:p>
      <w:pPr>
        <w:pStyle w:val="Heading1"/>
        <w:suppressLineNumbers/>
        <w:spacing w:lineRule="auto" w:line="360" w:before="240" w:after="240"/>
        <w:ind w:firstLine="510" w:end="0"/>
        <w:jc w:val="start"/>
        <w:rPr/>
      </w:pPr>
      <w:r>
        <w:rPr>
          <w:rtl w:val="true"/>
        </w:rPr>
        <w:t>חישוב היטל ההשבחה</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בערר </w:t>
      </w:r>
      <w:r>
        <w:rPr>
          <w:rFonts w:cs="David" w:ascii="David" w:hAnsi="David"/>
          <w:rtl w:val="true"/>
        </w:rPr>
        <w:t>(</w:t>
      </w:r>
      <w:r>
        <w:rPr>
          <w:rFonts w:ascii="David" w:hAnsi="David" w:cs="David"/>
          <w:rtl w:val="true"/>
        </w:rPr>
        <w:t xml:space="preserve">ועדות ערר </w:t>
      </w:r>
      <w:r>
        <w:rPr>
          <w:rFonts w:cs="David" w:ascii="David" w:hAnsi="David"/>
          <w:rtl w:val="true"/>
        </w:rPr>
        <w:t xml:space="preserve">- </w:t>
      </w:r>
      <w:r>
        <w:rPr>
          <w:rFonts w:ascii="David" w:hAnsi="David" w:cs="David"/>
          <w:rtl w:val="true"/>
        </w:rPr>
        <w:t>תכנון ובנייה מרכז</w:t>
      </w:r>
      <w:r>
        <w:rPr>
          <w:rFonts w:cs="David" w:ascii="David" w:hAnsi="David"/>
          <w:rtl w:val="true"/>
        </w:rPr>
        <w:t xml:space="preserve">) </w:t>
      </w:r>
      <w:r>
        <w:rPr>
          <w:rFonts w:cs="David" w:ascii="David" w:hAnsi="David"/>
        </w:rPr>
        <w:t>8024-02-26</w:t>
      </w:r>
      <w:r>
        <w:rPr>
          <w:rFonts w:cs="David" w:ascii="David" w:hAnsi="David"/>
          <w:rtl w:val="true"/>
        </w:rPr>
        <w:t xml:space="preserve"> </w:t>
      </w:r>
      <w:r>
        <w:rPr>
          <w:rFonts w:ascii="Miriam" w:hAnsi="Miriam" w:cs="Miriam"/>
          <w:rtl w:val="true"/>
        </w:rPr>
        <w:t>א</w:t>
      </w:r>
      <w:r>
        <w:rPr>
          <w:rFonts w:cs="Miriam" w:ascii="Miriam" w:hAnsi="Miriam"/>
          <w:rtl w:val="true"/>
        </w:rPr>
        <w:t xml:space="preserve">. </w:t>
      </w:r>
      <w:r>
        <w:rPr>
          <w:rFonts w:ascii="Miriam" w:hAnsi="Miriam" w:cs="Miriam"/>
          <w:rtl w:val="true"/>
        </w:rPr>
        <w:t xml:space="preserve">גינאדי השקעות ובניה </w:t>
      </w:r>
      <w:r>
        <w:rPr>
          <w:rFonts w:cs="Miriam" w:ascii="Miriam" w:hAnsi="Miriam"/>
          <w:rtl w:val="true"/>
        </w:rPr>
        <w:t>(</w:t>
      </w:r>
      <w:r>
        <w:rPr>
          <w:rFonts w:cs="Miriam" w:ascii="Miriam" w:hAnsi="Miriam"/>
        </w:rPr>
        <w:t>1992</w:t>
      </w:r>
      <w:r>
        <w:rPr>
          <w:rFonts w:cs="Miriam" w:ascii="Miriam" w:hAnsi="Miriam"/>
          <w:rtl w:val="true"/>
        </w:rPr>
        <w:t xml:space="preserve">) </w:t>
      </w:r>
      <w:r>
        <w:rPr>
          <w:rFonts w:ascii="Miriam" w:hAnsi="Miriam" w:cs="Miriam"/>
          <w:rtl w:val="true"/>
        </w:rPr>
        <w:t>בע</w:t>
      </w:r>
      <w:r>
        <w:rPr>
          <w:rFonts w:cs="Miriam" w:ascii="Miriam" w:hAnsi="Miriam"/>
          <w:rtl w:val="true"/>
        </w:rPr>
        <w:t>"</w:t>
      </w:r>
      <w:r>
        <w:rPr>
          <w:rFonts w:ascii="Miriam" w:hAnsi="Miriam" w:cs="Miriam"/>
          <w:rtl w:val="true"/>
        </w:rPr>
        <w:t>מ נ</w:t>
      </w:r>
      <w:r>
        <w:rPr>
          <w:rFonts w:cs="Miriam" w:ascii="Miriam" w:hAnsi="Miriam"/>
          <w:rtl w:val="true"/>
        </w:rPr>
        <w:t xml:space="preserve">' </w:t>
      </w:r>
      <w:r>
        <w:rPr>
          <w:rFonts w:ascii="Miriam" w:hAnsi="Miriam" w:cs="Miriam"/>
          <w:rtl w:val="true"/>
        </w:rPr>
        <w:t>הוועדה המקומית לתכנון ובנייה נתניה</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20.8.2026</w:t>
      </w:r>
      <w:r>
        <w:rPr>
          <w:rFonts w:cs="David" w:ascii="David" w:hAnsi="David"/>
          <w:rtl w:val="true"/>
        </w:rPr>
        <w:t>) (</w:t>
      </w:r>
      <w:r>
        <w:rPr>
          <w:rFonts w:ascii="David" w:hAnsi="David" w:cs="David"/>
          <w:rtl w:val="true"/>
        </w:rPr>
        <w:t>להלן</w:t>
      </w:r>
      <w:r>
        <w:rPr>
          <w:rFonts w:cs="David" w:ascii="David" w:hAnsi="David"/>
          <w:rtl w:val="true"/>
        </w:rPr>
        <w:t>: "</w:t>
      </w:r>
      <w:r>
        <w:rPr>
          <w:rFonts w:ascii="Miriam" w:hAnsi="Miriam" w:cs="Miriam"/>
          <w:rtl w:val="true"/>
        </w:rPr>
        <w:t>עניין גינאדי</w:t>
      </w:r>
      <w:r>
        <w:rPr>
          <w:rFonts w:cs="David" w:ascii="David" w:hAnsi="David"/>
          <w:rtl w:val="true"/>
        </w:rPr>
        <w:t xml:space="preserve">"), </w:t>
      </w:r>
      <w:r>
        <w:rPr>
          <w:rFonts w:ascii="David" w:hAnsi="David" w:cs="David"/>
          <w:rtl w:val="true"/>
        </w:rPr>
        <w:t xml:space="preserve">נקבע כי פער של ממש בין שומת היטל ההשבחה לבין התחשיב הכלכלי שנערך בהתאם לתקן </w:t>
      </w:r>
      <w:r>
        <w:rPr>
          <w:rFonts w:cs="David" w:ascii="David" w:hAnsi="David"/>
        </w:rPr>
        <w:t>21</w:t>
      </w:r>
      <w:r>
        <w:rPr>
          <w:rFonts w:cs="David" w:ascii="David" w:hAnsi="David"/>
          <w:rtl w:val="true"/>
        </w:rPr>
        <w:t xml:space="preserve"> </w:t>
      </w:r>
      <w:r>
        <w:rPr>
          <w:rFonts w:ascii="David" w:hAnsi="David" w:cs="David"/>
          <w:rtl w:val="true"/>
        </w:rPr>
        <w:t>אינו עניין של מה בכך</w:t>
      </w:r>
      <w:r>
        <w:rPr>
          <w:rFonts w:cs="David" w:ascii="David" w:hAnsi="David"/>
          <w:rtl w:val="true"/>
        </w:rPr>
        <w:t xml:space="preserve">, </w:t>
      </w:r>
      <w:r>
        <w:rPr>
          <w:rFonts w:ascii="David" w:hAnsi="David" w:cs="David"/>
          <w:rtl w:val="true"/>
        </w:rPr>
        <w:t>וכי מקום שבו מתגלה פער כאמור</w:t>
      </w:r>
      <w:r>
        <w:rPr>
          <w:rFonts w:cs="David" w:ascii="David" w:hAnsi="David"/>
          <w:rtl w:val="true"/>
        </w:rPr>
        <w:t xml:space="preserve">, </w:t>
      </w:r>
      <w:r>
        <w:rPr>
          <w:rFonts w:ascii="David" w:hAnsi="David" w:cs="David"/>
          <w:rtl w:val="true"/>
        </w:rPr>
        <w:t>יש ליתן את הדעת למקורו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התשתית העיונית שביסוד מסקנה זו נפרשה בהרחבה שם</w:t>
      </w:r>
      <w:r>
        <w:rPr>
          <w:rFonts w:cs="David" w:ascii="David" w:hAnsi="David"/>
          <w:rtl w:val="true"/>
        </w:rPr>
        <w:t xml:space="preserve">, </w:t>
      </w:r>
      <w:r>
        <w:rPr>
          <w:rFonts w:ascii="David" w:hAnsi="David" w:cs="David"/>
          <w:rtl w:val="true"/>
        </w:rPr>
        <w:t>והמבקש להרחיב יעיין שם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בתמצית</w:t>
      </w:r>
      <w:r>
        <w:rPr>
          <w:rFonts w:cs="David" w:ascii="David" w:hAnsi="David"/>
          <w:rtl w:val="true"/>
        </w:rPr>
        <w:t xml:space="preserve">, </w:t>
      </w:r>
      <w:r>
        <w:rPr>
          <w:rFonts w:ascii="David" w:hAnsi="David" w:cs="David"/>
          <w:rtl w:val="true"/>
        </w:rPr>
        <w:t>שומת היטל השבחה נדרשת לבסס את עליית ערך המקרקעין עקב הפעולה התכנונית</w:t>
      </w:r>
      <w:r>
        <w:rPr>
          <w:rFonts w:cs="David" w:ascii="David" w:hAnsi="David"/>
          <w:rtl w:val="true"/>
        </w:rPr>
        <w:t xml:space="preserve">, </w:t>
      </w:r>
      <w:r>
        <w:rPr>
          <w:rFonts w:ascii="David" w:hAnsi="David" w:cs="David"/>
          <w:rtl w:val="true"/>
        </w:rPr>
        <w:t>למועד הקובע ובהתאם לדין</w:t>
      </w:r>
      <w:r>
        <w:rPr>
          <w:rFonts w:cs="David" w:ascii="David" w:hAnsi="David"/>
          <w:rtl w:val="true"/>
        </w:rPr>
        <w:t xml:space="preserve">. </w:t>
      </w:r>
      <w:r>
        <w:rPr>
          <w:rFonts w:ascii="David" w:hAnsi="David" w:cs="David"/>
          <w:rtl w:val="true"/>
        </w:rPr>
        <w:t xml:space="preserve">כאשר הוצג למוסד התכנון תחשיב כלכלי לפי תקן </w:t>
      </w:r>
      <w:r>
        <w:rPr>
          <w:rFonts w:cs="David" w:ascii="David" w:hAnsi="David"/>
        </w:rPr>
        <w:t>21</w:t>
      </w:r>
      <w:r>
        <w:rPr>
          <w:rFonts w:cs="David" w:ascii="David" w:hAnsi="David"/>
          <w:rtl w:val="true"/>
        </w:rPr>
        <w:t xml:space="preserve">, </w:t>
      </w:r>
      <w:r>
        <w:rPr>
          <w:rFonts w:ascii="David" w:hAnsi="David" w:cs="David"/>
          <w:rtl w:val="true"/>
        </w:rPr>
        <w:t>המתייחס לאותה תוכנית וכולל נתונים רלוונטיים לשווי הזכויות הנישומות</w:t>
      </w:r>
      <w:r>
        <w:rPr>
          <w:rFonts w:cs="David" w:ascii="David" w:hAnsi="David"/>
          <w:rtl w:val="true"/>
        </w:rPr>
        <w:t xml:space="preserve">, </w:t>
      </w:r>
      <w:r>
        <w:rPr>
          <w:rFonts w:ascii="David" w:hAnsi="David" w:cs="David"/>
          <w:rtl w:val="true"/>
        </w:rPr>
        <w:t>יש ליתן לו משקל בבחינת התשתית השמאית לחיוב</w:t>
      </w:r>
      <w:r>
        <w:rPr>
          <w:rFonts w:cs="David" w:ascii="David" w:hAnsi="David"/>
          <w:rtl w:val="true"/>
        </w:rPr>
        <w:t xml:space="preserve">, </w:t>
      </w:r>
      <w:r>
        <w:rPr>
          <w:rFonts w:ascii="David" w:hAnsi="David" w:cs="David"/>
          <w:rtl w:val="true"/>
        </w:rPr>
        <w:t>לפי מידת מהימנותו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אומדן ההיטל בתחשיב הכלכלי אינו קובע את החיוב ואינו חסין מתיקון</w:t>
      </w:r>
      <w:r>
        <w:rPr>
          <w:rFonts w:cs="David" w:ascii="David" w:hAnsi="David"/>
          <w:rtl w:val="true"/>
        </w:rPr>
        <w:t xml:space="preserve">. </w:t>
      </w:r>
      <w:r>
        <w:rPr>
          <w:rFonts w:ascii="David" w:hAnsi="David" w:cs="David"/>
          <w:rtl w:val="true"/>
        </w:rPr>
        <w:t>אולם</w:t>
      </w:r>
      <w:r>
        <w:rPr>
          <w:rFonts w:cs="David" w:ascii="David" w:hAnsi="David"/>
          <w:rtl w:val="true"/>
        </w:rPr>
        <w:t xml:space="preserve">, </w:t>
      </w:r>
      <w:r>
        <w:rPr>
          <w:rFonts w:ascii="David" w:hAnsi="David" w:cs="David"/>
          <w:rtl w:val="true"/>
        </w:rPr>
        <w:t>כאשר קיים פער מהותי בינו לבין שומת ההשבחה</w:t>
      </w:r>
      <w:r>
        <w:rPr>
          <w:rFonts w:cs="David" w:ascii="David" w:hAnsi="David"/>
          <w:rtl w:val="true"/>
        </w:rPr>
        <w:t xml:space="preserve">, </w:t>
      </w:r>
      <w:r>
        <w:rPr>
          <w:rFonts w:ascii="David" w:hAnsi="David" w:cs="David"/>
          <w:rtl w:val="true"/>
        </w:rPr>
        <w:t>יש להסביר את מקורותיו</w:t>
      </w:r>
      <w:r>
        <w:rPr>
          <w:rFonts w:cs="David" w:ascii="David" w:hAnsi="David"/>
          <w:rtl w:val="true"/>
        </w:rPr>
        <w:t xml:space="preserve">. </w:t>
      </w:r>
      <w:r>
        <w:rPr>
          <w:rFonts w:ascii="David" w:hAnsi="David" w:cs="David"/>
          <w:rtl w:val="true"/>
        </w:rPr>
        <w:t>ככל שהפער גדול יותר</w:t>
      </w:r>
      <w:r>
        <w:rPr>
          <w:rFonts w:cs="David" w:ascii="David" w:hAnsi="David"/>
          <w:rtl w:val="true"/>
        </w:rPr>
        <w:t xml:space="preserve">, </w:t>
      </w:r>
      <w:r>
        <w:rPr>
          <w:rFonts w:ascii="David" w:hAnsi="David" w:cs="David"/>
          <w:rtl w:val="true"/>
        </w:rPr>
        <w:t>כך נדרשת הנמקה מפורטת יותר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פער מהותי שנותר בלתי מוסבר אינו מוכיח שאומדן ההיטל בתחשיב הכלכלי הוא הנכון</w:t>
      </w:r>
      <w:r>
        <w:rPr>
          <w:rFonts w:cs="David" w:ascii="David" w:hAnsi="David"/>
          <w:rtl w:val="true"/>
        </w:rPr>
        <w:t xml:space="preserve">. </w:t>
      </w:r>
      <w:r>
        <w:rPr>
          <w:rFonts w:ascii="David" w:hAnsi="David" w:cs="David"/>
          <w:rtl w:val="true"/>
        </w:rPr>
        <w:t>עם זאת</w:t>
      </w:r>
      <w:r>
        <w:rPr>
          <w:rFonts w:cs="David" w:ascii="David" w:hAnsi="David"/>
          <w:rtl w:val="true"/>
        </w:rPr>
        <w:t xml:space="preserve">, </w:t>
      </w:r>
      <w:r>
        <w:rPr>
          <w:rFonts w:ascii="David" w:hAnsi="David" w:cs="David"/>
          <w:rtl w:val="true"/>
        </w:rPr>
        <w:t>הוא עשוי להעיד ששומת ההשבחה מייחסת לזכויות הנישומות תוספת ערך בלי להביא בחשבון במידה מספקת את העלויות ההכרחיות למימושן</w:t>
      </w:r>
      <w:r>
        <w:rPr>
          <w:rFonts w:cs="David" w:ascii="David" w:hAnsi="David"/>
          <w:rtl w:val="true"/>
        </w:rPr>
        <w:t xml:space="preserve">, </w:t>
      </w:r>
      <w:r>
        <w:rPr>
          <w:rFonts w:ascii="David" w:hAnsi="David" w:cs="David"/>
          <w:rtl w:val="true"/>
        </w:rPr>
        <w:t>אשר משפיעות על שוויין במועד הקובע</w:t>
      </w:r>
      <w:r>
        <w:rPr>
          <w:rFonts w:cs="David" w:ascii="David" w:hAnsi="David"/>
          <w:rtl w:val="true"/>
        </w:rPr>
        <w:t xml:space="preserve">. </w:t>
      </w:r>
      <w:r>
        <w:rPr>
          <w:rFonts w:ascii="David" w:hAnsi="David" w:cs="David"/>
          <w:rtl w:val="true"/>
        </w:rPr>
        <w:t>במקרה כזה עלולה השומה לכלול ערך שכנגדו עומדות עלויות מימוש</w:t>
      </w:r>
      <w:r>
        <w:rPr>
          <w:rFonts w:cs="David" w:ascii="David" w:hAnsi="David"/>
          <w:rtl w:val="true"/>
        </w:rPr>
        <w:t xml:space="preserve">, </w:t>
      </w:r>
      <w:r>
        <w:rPr>
          <w:rFonts w:ascii="David" w:hAnsi="David" w:cs="David"/>
          <w:rtl w:val="true"/>
        </w:rPr>
        <w:t>שלא הובאו בחשבון כנדרש</w:t>
      </w:r>
      <w:r>
        <w:rPr>
          <w:rFonts w:cs="David" w:ascii="David" w:hAnsi="David"/>
          <w:rtl w:val="true"/>
        </w:rPr>
        <w:t xml:space="preserve">, </w:t>
      </w:r>
      <w:r>
        <w:rPr>
          <w:rFonts w:ascii="David" w:hAnsi="David" w:cs="David"/>
          <w:rtl w:val="true"/>
        </w:rPr>
        <w:t>כך שהוא אינו משקף התעשרות הנובעת מהפעולה התכנונית</w:t>
      </w:r>
      <w:r>
        <w:rPr>
          <w:rFonts w:cs="David" w:ascii="David" w:hAnsi="David"/>
          <w:rtl w:val="true"/>
        </w:rPr>
        <w:t xml:space="preserve">. </w:t>
      </w:r>
      <w:r>
        <w:rPr>
          <w:rFonts w:ascii="David" w:hAnsi="David" w:cs="David"/>
          <w:rtl w:val="true"/>
        </w:rPr>
        <w:t>אפשרות זו מטילה ספק בסבירות התוצאה השמאית ומחייבת להשלים את הבירור וההנמקה לפני אימוצה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אם הפער הוסבר ונמצא כי מקורו בהבדלים רלוונטיים ומבוססים</w:t>
      </w:r>
      <w:r>
        <w:rPr>
          <w:rFonts w:cs="David" w:ascii="David" w:hAnsi="David"/>
          <w:rtl w:val="true"/>
        </w:rPr>
        <w:t xml:space="preserve">, </w:t>
      </w:r>
      <w:r>
        <w:rPr>
          <w:rFonts w:ascii="David" w:hAnsi="David" w:cs="David"/>
          <w:rtl w:val="true"/>
        </w:rPr>
        <w:t>ניתן לאמץ את תוצאת השומה גם אם היא שונה במידה ניכרת מהאומדן שבתחשיב הכלכלי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במובן זה הבקרה פועלת לשני הכיוונים</w:t>
      </w:r>
      <w:r>
        <w:rPr>
          <w:rFonts w:cs="David" w:ascii="David" w:hAnsi="David"/>
          <w:rtl w:val="true"/>
        </w:rPr>
        <w:t xml:space="preserve">. </w:t>
      </w:r>
      <w:r>
        <w:rPr>
          <w:rFonts w:ascii="David" w:hAnsi="David" w:cs="David"/>
          <w:rtl w:val="true"/>
        </w:rPr>
        <w:t>תכליתה אינה להבטיח רווחיות ליזם</w:t>
      </w:r>
      <w:r>
        <w:rPr>
          <w:rFonts w:cs="David" w:ascii="David" w:hAnsi="David"/>
          <w:rtl w:val="true"/>
        </w:rPr>
        <w:t xml:space="preserve">, </w:t>
      </w:r>
      <w:r>
        <w:rPr>
          <w:rFonts w:ascii="David" w:hAnsi="David" w:cs="David"/>
          <w:rtl w:val="true"/>
        </w:rPr>
        <w:t>הכנסה לרשות המקומית או תוצאה מספרית שנקבעה מראש</w:t>
      </w:r>
      <w:r>
        <w:rPr>
          <w:rFonts w:cs="David" w:ascii="David" w:hAnsi="David"/>
          <w:rtl w:val="true"/>
        </w:rPr>
        <w:t xml:space="preserve">, </w:t>
      </w:r>
      <w:r>
        <w:rPr>
          <w:rFonts w:ascii="David" w:hAnsi="David" w:cs="David"/>
          <w:rtl w:val="true"/>
        </w:rPr>
        <w:t>אלא לקבוע את החיוב הנכון בהתאם להתעשרות שאירעה בפועל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יישומו של כלל זה בענייננו מוביל למסקנה כי יש לאמץ את השומות המכריעות בחלופת הפטור</w:t>
      </w:r>
      <w:r>
        <w:rPr>
          <w:rFonts w:cs="David" w:ascii="David" w:hAnsi="David"/>
          <w:rtl w:val="true"/>
        </w:rPr>
        <w:t xml:space="preserve">, </w:t>
      </w:r>
      <w:r>
        <w:rPr>
          <w:rFonts w:ascii="David" w:hAnsi="David" w:cs="David"/>
          <w:rtl w:val="true"/>
        </w:rPr>
        <w:t>ונבאר עמדתנו להלן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כהגדרתו לעיל</w:t>
      </w:r>
      <w:r>
        <w:rPr>
          <w:rFonts w:cs="David" w:ascii="David" w:hAnsi="David"/>
          <w:rtl w:val="true"/>
        </w:rPr>
        <w:t xml:space="preserve">, </w:t>
      </w:r>
      <w:r>
        <w:rPr>
          <w:rFonts w:ascii="David" w:hAnsi="David" w:cs="David"/>
          <w:rtl w:val="true"/>
        </w:rPr>
        <w:t xml:space="preserve">נאמד היטל ההשבחה הצפוי בסך של </w:t>
      </w:r>
      <w:r>
        <w:rPr>
          <w:rFonts w:cs="David" w:ascii="David" w:hAnsi="David"/>
        </w:rPr>
        <w:t>9</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אם נניח</w:t>
      </w:r>
      <w:r>
        <w:rPr>
          <w:rFonts w:cs="David" w:ascii="David" w:hAnsi="David"/>
          <w:rtl w:val="true"/>
        </w:rPr>
        <w:t xml:space="preserve">, </w:t>
      </w:r>
      <w:r>
        <w:rPr>
          <w:rFonts w:ascii="David" w:hAnsi="David" w:cs="David"/>
          <w:rtl w:val="true"/>
        </w:rPr>
        <w:t>לצורך בחינת הסבירות בלבד</w:t>
      </w:r>
      <w:r>
        <w:rPr>
          <w:rFonts w:cs="David" w:ascii="David" w:hAnsi="David"/>
          <w:rtl w:val="true"/>
        </w:rPr>
        <w:t xml:space="preserve">, </w:t>
      </w:r>
      <w:r>
        <w:rPr>
          <w:rFonts w:ascii="David" w:hAnsi="David" w:cs="David"/>
          <w:rtl w:val="true"/>
        </w:rPr>
        <w:t>כי שווי המצב הקודם של המתחם כולו</w:t>
      </w:r>
      <w:r>
        <w:rPr>
          <w:rFonts w:cs="David" w:ascii="David" w:hAnsi="David"/>
          <w:rtl w:val="true"/>
        </w:rPr>
        <w:t xml:space="preserve">, </w:t>
      </w:r>
      <w:r>
        <w:rPr>
          <w:rFonts w:ascii="David" w:hAnsi="David" w:cs="David"/>
          <w:rtl w:val="true"/>
        </w:rPr>
        <w:t>כפי שנקבע בשומות המכריעות</w:t>
      </w:r>
      <w:r>
        <w:rPr>
          <w:rFonts w:cs="David" w:ascii="David" w:hAnsi="David"/>
          <w:rtl w:val="true"/>
        </w:rPr>
        <w:t xml:space="preserve">, </w:t>
      </w:r>
      <w:r>
        <w:rPr>
          <w:rFonts w:ascii="David" w:hAnsi="David" w:cs="David"/>
          <w:rtl w:val="true"/>
        </w:rPr>
        <w:t>עומד על כ</w:t>
      </w:r>
      <w:r>
        <w:rPr>
          <w:rFonts w:cs="David" w:ascii="David" w:hAnsi="David"/>
          <w:rtl w:val="true"/>
        </w:rPr>
        <w:t>-</w:t>
      </w:r>
      <w:r>
        <w:rPr>
          <w:rFonts w:cs="David" w:ascii="David" w:hAnsi="David"/>
        </w:rPr>
        <w:t>158.1</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 xml:space="preserve">הרי שהיטל השבחה בסך של </w:t>
      </w:r>
      <w:r>
        <w:rPr>
          <w:rFonts w:cs="David" w:ascii="David" w:hAnsi="David"/>
        </w:rPr>
        <w:t>9</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 מהווה כ</w:t>
      </w:r>
      <w:r>
        <w:rPr>
          <w:rFonts w:cs="David" w:ascii="David" w:hAnsi="David"/>
          <w:rtl w:val="true"/>
        </w:rPr>
        <w:t>-</w:t>
      </w:r>
      <w:r>
        <w:rPr>
          <w:rFonts w:cs="David" w:ascii="David" w:hAnsi="David"/>
        </w:rPr>
        <w:t>5.7%</w:t>
      </w:r>
      <w:r>
        <w:rPr>
          <w:rFonts w:cs="David" w:ascii="David" w:hAnsi="David"/>
          <w:rtl w:val="true"/>
        </w:rPr>
        <w:t xml:space="preserve"> </w:t>
      </w:r>
      <w:r>
        <w:rPr>
          <w:rFonts w:ascii="David" w:hAnsi="David" w:cs="David"/>
          <w:rtl w:val="true"/>
        </w:rPr>
        <w:t>משווי המצב הקודם</w:t>
      </w:r>
      <w:r>
        <w:rPr>
          <w:rFonts w:cs="David" w:ascii="David" w:hAnsi="David"/>
          <w:rtl w:val="true"/>
        </w:rPr>
        <w:t xml:space="preserve">, </w:t>
      </w:r>
      <w:r>
        <w:rPr>
          <w:rFonts w:ascii="David" w:hAnsi="David" w:cs="David"/>
          <w:rtl w:val="true"/>
        </w:rPr>
        <w:t>וההשבחה</w:t>
      </w:r>
      <w:r>
        <w:rPr>
          <w:rFonts w:cs="David" w:ascii="David" w:hAnsi="David"/>
          <w:rtl w:val="true"/>
        </w:rPr>
        <w:t xml:space="preserve">, </w:t>
      </w:r>
      <w:r>
        <w:rPr>
          <w:rFonts w:ascii="David" w:hAnsi="David" w:cs="David"/>
          <w:rtl w:val="true"/>
        </w:rPr>
        <w:t>שממנה נגזר ההיטל</w:t>
      </w:r>
      <w:r>
        <w:rPr>
          <w:rFonts w:cs="David" w:ascii="David" w:hAnsi="David"/>
          <w:rtl w:val="true"/>
        </w:rPr>
        <w:t xml:space="preserve">, </w:t>
      </w:r>
      <w:r>
        <w:rPr>
          <w:rFonts w:ascii="David" w:hAnsi="David" w:cs="David"/>
          <w:rtl w:val="true"/>
        </w:rPr>
        <w:t>בסך של כ</w:t>
      </w:r>
      <w:r>
        <w:rPr>
          <w:rFonts w:cs="David" w:ascii="David" w:hAnsi="David"/>
          <w:rtl w:val="true"/>
        </w:rPr>
        <w:t>-</w:t>
      </w:r>
      <w:r>
        <w:rPr>
          <w:rFonts w:cs="David" w:ascii="David" w:hAnsi="David"/>
        </w:rPr>
        <w:t>18</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מהווה כ</w:t>
      </w:r>
      <w:r>
        <w:rPr>
          <w:rFonts w:cs="David" w:ascii="David" w:hAnsi="David"/>
          <w:rtl w:val="true"/>
        </w:rPr>
        <w:t>-</w:t>
      </w:r>
      <w:r>
        <w:rPr>
          <w:rFonts w:cs="David" w:ascii="David" w:hAnsi="David"/>
        </w:rPr>
        <w:t>11.4%</w:t>
      </w:r>
      <w:r>
        <w:rPr>
          <w:rFonts w:cs="David" w:ascii="David" w:hAnsi="David"/>
          <w:rtl w:val="true"/>
        </w:rPr>
        <w:t xml:space="preserve"> </w:t>
      </w:r>
      <w:r>
        <w:rPr>
          <w:rFonts w:ascii="David" w:hAnsi="David" w:cs="David"/>
          <w:rtl w:val="true"/>
        </w:rPr>
        <w:t>משווי המצב הקודם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בין מועד עריכת הדו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 xml:space="preserve">ביום </w:t>
      </w:r>
      <w:r>
        <w:rPr>
          <w:rFonts w:cs="David" w:ascii="David" w:hAnsi="David"/>
        </w:rPr>
        <w:t>19.9.2021</w:t>
      </w:r>
      <w:r>
        <w:rPr>
          <w:rFonts w:cs="David" w:ascii="David" w:hAnsi="David"/>
          <w:rtl w:val="true"/>
        </w:rPr>
        <w:t xml:space="preserve">, </w:t>
      </w:r>
      <w:r>
        <w:rPr>
          <w:rFonts w:ascii="David" w:hAnsi="David" w:cs="David"/>
          <w:rtl w:val="true"/>
        </w:rPr>
        <w:t>לבין מועד תחילתה של התוכנית</w:t>
      </w:r>
      <w:r>
        <w:rPr>
          <w:rFonts w:cs="David" w:ascii="David" w:hAnsi="David"/>
          <w:rtl w:val="true"/>
        </w:rPr>
        <w:t xml:space="preserve">, </w:t>
      </w:r>
      <w:r>
        <w:rPr>
          <w:rFonts w:ascii="David" w:hAnsi="David" w:cs="David"/>
          <w:rtl w:val="true"/>
        </w:rPr>
        <w:t xml:space="preserve">ביום </w:t>
      </w:r>
      <w:r>
        <w:rPr>
          <w:rFonts w:cs="David" w:ascii="David" w:hAnsi="David"/>
        </w:rPr>
        <w:t>23.9.2022</w:t>
      </w:r>
      <w:r>
        <w:rPr>
          <w:rFonts w:cs="David" w:ascii="David" w:hAnsi="David"/>
          <w:rtl w:val="true"/>
        </w:rPr>
        <w:t xml:space="preserve">, </w:t>
      </w:r>
      <w:r>
        <w:rPr>
          <w:rFonts w:ascii="David" w:hAnsi="David" w:cs="David"/>
          <w:rtl w:val="true"/>
        </w:rPr>
        <w:t>חלפה כשנה בלבד</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ככל שבמהלך תקופה זו חל שינוי ריאלי בשוק המגורים בסביבה הרלוונטית</w:t>
      </w:r>
      <w:r>
        <w:rPr>
          <w:rFonts w:cs="David" w:ascii="David" w:hAnsi="David"/>
          <w:rtl w:val="true"/>
        </w:rPr>
        <w:t xml:space="preserve">, </w:t>
      </w:r>
      <w:r>
        <w:rPr>
          <w:rFonts w:ascii="David" w:hAnsi="David" w:cs="David"/>
          <w:rtl w:val="true"/>
        </w:rPr>
        <w:t>יש להביאו בחשבון</w:t>
      </w:r>
      <w:r>
        <w:rPr>
          <w:rFonts w:cs="David" w:ascii="David" w:hAnsi="David"/>
          <w:rtl w:val="true"/>
        </w:rPr>
        <w:t xml:space="preserve">. </w:t>
      </w:r>
      <w:r>
        <w:rPr>
          <w:rFonts w:ascii="Miriam" w:hAnsi="Miriam" w:cs="Miriam"/>
          <w:rtl w:val="true"/>
        </w:rPr>
        <w:t>בעניין גינאדי</w:t>
      </w:r>
      <w:r>
        <w:rPr>
          <w:rFonts w:ascii="David" w:hAnsi="David" w:cs="David"/>
          <w:rtl w:val="true"/>
        </w:rPr>
        <w:t xml:space="preserve"> הומחש הדבר באמצעות הדוגמה הבאה</w:t>
      </w:r>
      <w:r>
        <w:rPr>
          <w:rFonts w:cs="David" w:ascii="David" w:hAnsi="David"/>
          <w:rtl w:val="true"/>
        </w:rPr>
        <w:t xml:space="preserve">: </w:t>
      </w:r>
      <w:r>
        <w:rPr>
          <w:rFonts w:ascii="David" w:hAnsi="David" w:cs="David"/>
          <w:rtl w:val="true"/>
        </w:rPr>
        <w:t xml:space="preserve">נניח כי מחירי הדירות עלו בשיעור נומינלי של </w:t>
      </w:r>
      <w:r>
        <w:rPr>
          <w:rFonts w:cs="David" w:ascii="David" w:hAnsi="David"/>
        </w:rPr>
        <w:t>8%</w:t>
      </w:r>
      <w:r>
        <w:rPr>
          <w:rFonts w:cs="David" w:ascii="David" w:hAnsi="David"/>
          <w:rtl w:val="true"/>
        </w:rPr>
        <w:t xml:space="preserve">, </w:t>
      </w:r>
      <w:r>
        <w:rPr>
          <w:rFonts w:ascii="David" w:hAnsi="David" w:cs="David"/>
          <w:rtl w:val="true"/>
        </w:rPr>
        <w:t xml:space="preserve">ובניכוי השינוי במדד הכללי משקפת עלייה זו גידול ריאלי של </w:t>
      </w:r>
      <w:r>
        <w:rPr>
          <w:rFonts w:cs="David" w:ascii="David" w:hAnsi="David"/>
        </w:rPr>
        <w:t>4.5%</w:t>
      </w:r>
      <w:r>
        <w:rPr>
          <w:rFonts w:cs="David" w:ascii="David" w:hAnsi="David"/>
          <w:rtl w:val="true"/>
        </w:rPr>
        <w:t xml:space="preserve">. </w:t>
      </w:r>
      <w:r>
        <w:rPr>
          <w:rFonts w:ascii="David" w:hAnsi="David" w:cs="David"/>
          <w:rtl w:val="true"/>
        </w:rPr>
        <w:t>עתה</w:t>
      </w:r>
      <w:r>
        <w:rPr>
          <w:rFonts w:cs="David" w:ascii="David" w:hAnsi="David"/>
          <w:rtl w:val="true"/>
        </w:rPr>
        <w:t xml:space="preserve">, </w:t>
      </w:r>
      <w:r>
        <w:rPr>
          <w:rFonts w:ascii="David" w:hAnsi="David" w:cs="David"/>
          <w:rtl w:val="true"/>
        </w:rPr>
        <w:t>בהנחה שתשומות הבנייה נותרו באותה תקופה יציבות במונחים ריאליים</w:t>
      </w:r>
      <w:r>
        <w:rPr>
          <w:rFonts w:cs="David" w:ascii="David" w:hAnsi="David"/>
          <w:rtl w:val="true"/>
        </w:rPr>
        <w:t xml:space="preserve">, </w:t>
      </w:r>
      <w:r>
        <w:rPr>
          <w:rFonts w:ascii="David" w:hAnsi="David" w:cs="David"/>
          <w:rtl w:val="true"/>
        </w:rPr>
        <w:t>ניתן לצפות כי היטל ההשבחה במועד הקובע יהיה גבוה מההיטל שהובא בדו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 xml:space="preserve">וזאת בשיעור דומה לשיעור העלייה הריאלית במחירי הדירות </w:t>
      </w:r>
      <w:r>
        <w:rPr>
          <w:rFonts w:cs="David" w:ascii="David" w:hAnsi="David"/>
          <w:rtl w:val="true"/>
        </w:rPr>
        <w:t>(</w:t>
      </w:r>
      <w:r>
        <w:rPr>
          <w:rFonts w:cs="David" w:ascii="David" w:hAnsi="David"/>
        </w:rPr>
        <w:t>4.5%</w:t>
      </w:r>
      <w:r>
        <w:rPr>
          <w:rFonts w:cs="David" w:ascii="David" w:hAnsi="David"/>
          <w:rtl w:val="true"/>
        </w:rPr>
        <w:t xml:space="preserve">), </w:t>
      </w:r>
      <w:r>
        <w:rPr>
          <w:rFonts w:ascii="David" w:hAnsi="David" w:cs="David"/>
          <w:rtl w:val="true"/>
        </w:rPr>
        <w:t>ואף בשיעור גבוה ממנו במידת מה</w:t>
      </w:r>
      <w:r>
        <w:rPr>
          <w:rFonts w:cs="David" w:ascii="David" w:hAnsi="David"/>
          <w:rtl w:val="true"/>
        </w:rPr>
        <w:t xml:space="preserve">, </w:t>
      </w:r>
      <w:r>
        <w:rPr>
          <w:rFonts w:ascii="David" w:hAnsi="David" w:cs="David"/>
          <w:rtl w:val="true"/>
        </w:rPr>
        <w:t>זאת לנוכח אופיו השאריתי של שווי הקרקע</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לחלופין</w:t>
      </w:r>
      <w:r>
        <w:rPr>
          <w:rFonts w:cs="David" w:ascii="David" w:hAnsi="David"/>
          <w:rtl w:val="true"/>
        </w:rPr>
        <w:t xml:space="preserve">, </w:t>
      </w:r>
      <w:r>
        <w:rPr>
          <w:rFonts w:ascii="David" w:hAnsi="David" w:cs="David"/>
          <w:rtl w:val="true"/>
        </w:rPr>
        <w:t>ככל שקיימת תשתית נתונים מספקת</w:t>
      </w:r>
      <w:r>
        <w:rPr>
          <w:rFonts w:cs="David" w:ascii="David" w:hAnsi="David"/>
          <w:rtl w:val="true"/>
        </w:rPr>
        <w:t xml:space="preserve">, </w:t>
      </w:r>
      <w:r>
        <w:rPr>
          <w:rFonts w:ascii="David" w:hAnsi="David" w:cs="David"/>
          <w:rtl w:val="true"/>
        </w:rPr>
        <w:t>ניתן לבחון את השינוי שחל ברכיב הקרקע כשלעצמו</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לצורך ההמחשה נניח כי השפעת העלייה במחירי הדירות</w:t>
      </w:r>
      <w:r>
        <w:rPr>
          <w:rFonts w:cs="David" w:ascii="David" w:hAnsi="David"/>
          <w:rtl w:val="true"/>
        </w:rPr>
        <w:t xml:space="preserve">, </w:t>
      </w:r>
      <w:r>
        <w:rPr>
          <w:rFonts w:ascii="David" w:hAnsi="David" w:cs="David"/>
          <w:rtl w:val="true"/>
        </w:rPr>
        <w:t>או לחלופין העלייה בשווי רכיב הקרקע</w:t>
      </w:r>
      <w:r>
        <w:rPr>
          <w:rFonts w:cs="David" w:ascii="David" w:hAnsi="David"/>
          <w:rtl w:val="true"/>
        </w:rPr>
        <w:t xml:space="preserve">, </w:t>
      </w:r>
      <w:r>
        <w:rPr>
          <w:rFonts w:ascii="David" w:hAnsi="David" w:cs="David"/>
          <w:rtl w:val="true"/>
        </w:rPr>
        <w:t>הייתה מביאה לכך שהיטל השבחה בדו</w:t>
      </w:r>
      <w:r>
        <w:rPr>
          <w:rFonts w:cs="David" w:ascii="David" w:hAnsi="David"/>
          <w:rtl w:val="true"/>
        </w:rPr>
        <w:t>"</w:t>
      </w:r>
      <w:r>
        <w:rPr>
          <w:rFonts w:ascii="David" w:hAnsi="David" w:cs="David"/>
          <w:rtl w:val="true"/>
        </w:rPr>
        <w:t>ח כלכלי שנערך כשנה מאוחר יותר</w:t>
      </w:r>
      <w:r>
        <w:rPr>
          <w:rFonts w:cs="David" w:ascii="David" w:hAnsi="David"/>
          <w:rtl w:val="true"/>
        </w:rPr>
        <w:t xml:space="preserve">, </w:t>
      </w:r>
      <w:r>
        <w:rPr>
          <w:rFonts w:ascii="David" w:hAnsi="David" w:cs="David"/>
          <w:rtl w:val="true"/>
        </w:rPr>
        <w:t>היה גבוה בכ</w:t>
      </w:r>
      <w:r>
        <w:rPr>
          <w:rFonts w:cs="David" w:ascii="David" w:hAnsi="David"/>
          <w:rtl w:val="true"/>
        </w:rPr>
        <w:t>-</w:t>
      </w:r>
      <w:r>
        <w:rPr>
          <w:rFonts w:cs="David" w:ascii="David" w:hAnsi="David"/>
        </w:rPr>
        <w:t>6%</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עוד נניח כי שינוי זה היה מביא לכך ששיעור ההשבחה המתקבל בבדיקה לפי תקן </w:t>
      </w:r>
      <w:r>
        <w:rPr>
          <w:rFonts w:cs="David" w:ascii="David" w:hAnsi="David"/>
        </w:rPr>
        <w:t>21</w:t>
      </w:r>
      <w:r>
        <w:rPr>
          <w:rFonts w:cs="David" w:ascii="David" w:hAnsi="David"/>
          <w:rtl w:val="true"/>
        </w:rPr>
        <w:t xml:space="preserve"> </w:t>
      </w:r>
      <w:r>
        <w:rPr>
          <w:rFonts w:ascii="David" w:hAnsi="David" w:cs="David"/>
          <w:rtl w:val="true"/>
        </w:rPr>
        <w:t>היה עולה מכ</w:t>
      </w:r>
      <w:r>
        <w:rPr>
          <w:rFonts w:cs="David" w:ascii="David" w:hAnsi="David"/>
          <w:rtl w:val="true"/>
        </w:rPr>
        <w:t>-</w:t>
      </w:r>
      <w:r>
        <w:rPr>
          <w:rFonts w:cs="David" w:ascii="David" w:hAnsi="David"/>
        </w:rPr>
        <w:t>11.4%</w:t>
      </w:r>
      <w:r>
        <w:rPr>
          <w:rFonts w:cs="David" w:ascii="David" w:hAnsi="David"/>
          <w:rtl w:val="true"/>
        </w:rPr>
        <w:t xml:space="preserve"> </w:t>
      </w:r>
      <w:r>
        <w:rPr>
          <w:rFonts w:ascii="David" w:hAnsi="David" w:cs="David"/>
          <w:rtl w:val="true"/>
        </w:rPr>
        <w:t>לכ</w:t>
      </w:r>
      <w:r>
        <w:rPr>
          <w:rFonts w:cs="David" w:ascii="David" w:hAnsi="David"/>
          <w:rtl w:val="true"/>
        </w:rPr>
        <w:t>-</w:t>
      </w:r>
      <w:r>
        <w:rPr>
          <w:rFonts w:cs="David" w:ascii="David" w:hAnsi="David"/>
        </w:rPr>
        <w:t>15%</w:t>
      </w:r>
      <w:r>
        <w:rPr>
          <w:rFonts w:cs="David" w:ascii="David" w:hAnsi="David"/>
          <w:rtl w:val="true"/>
        </w:rPr>
        <w:t xml:space="preserve">. </w:t>
      </w:r>
      <w:r>
        <w:rPr>
          <w:rFonts w:ascii="David" w:hAnsi="David" w:cs="David"/>
          <w:rtl w:val="true"/>
        </w:rPr>
        <w:t>בהתאם לכך</w:t>
      </w:r>
      <w:r>
        <w:rPr>
          <w:rFonts w:cs="David" w:ascii="David" w:hAnsi="David"/>
          <w:rtl w:val="true"/>
        </w:rPr>
        <w:t xml:space="preserve">, </w:t>
      </w:r>
      <w:r>
        <w:rPr>
          <w:rFonts w:ascii="David" w:hAnsi="David" w:cs="David"/>
          <w:rtl w:val="true"/>
        </w:rPr>
        <w:t>ההשבחה הנומינלית לצורך תחשיב הסבירות הייתה עומדת על כ</w:t>
      </w:r>
      <w:r>
        <w:rPr>
          <w:rFonts w:cs="David" w:ascii="David" w:hAnsi="David"/>
          <w:rtl w:val="true"/>
        </w:rPr>
        <w:t>-</w:t>
      </w:r>
      <w:r>
        <w:rPr>
          <w:rFonts w:cs="David" w:ascii="David" w:hAnsi="David"/>
        </w:rPr>
        <w:t>25.6</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סכום זה מהווה כ</w:t>
      </w:r>
      <w:r>
        <w:rPr>
          <w:rFonts w:cs="David" w:ascii="David" w:hAnsi="David"/>
          <w:rtl w:val="true"/>
        </w:rPr>
        <w:t>-</w:t>
      </w:r>
      <w:r>
        <w:rPr>
          <w:rFonts w:cs="David" w:ascii="David" w:hAnsi="David"/>
        </w:rPr>
        <w:t>15%</w:t>
      </w:r>
      <w:r>
        <w:rPr>
          <w:rFonts w:cs="David" w:ascii="David" w:hAnsi="David"/>
          <w:rtl w:val="true"/>
        </w:rPr>
        <w:t xml:space="preserve"> </w:t>
      </w:r>
      <w:r>
        <w:rPr>
          <w:rFonts w:ascii="David" w:hAnsi="David" w:cs="David"/>
          <w:rtl w:val="true"/>
        </w:rPr>
        <w:t>משווי המצב הקודם</w:t>
      </w:r>
      <w:r>
        <w:rPr>
          <w:rFonts w:cs="David" w:ascii="David" w:hAnsi="David"/>
          <w:rtl w:val="true"/>
        </w:rPr>
        <w:t xml:space="preserve">, </w:t>
      </w:r>
      <w:r>
        <w:rPr>
          <w:rFonts w:ascii="David" w:hAnsi="David" w:cs="David"/>
          <w:rtl w:val="true"/>
        </w:rPr>
        <w:t>אשר עלה בינתיים מכ</w:t>
      </w:r>
      <w:r>
        <w:rPr>
          <w:rFonts w:cs="David" w:ascii="David" w:hAnsi="David"/>
          <w:rtl w:val="true"/>
        </w:rPr>
        <w:t>-</w:t>
      </w:r>
      <w:r>
        <w:rPr>
          <w:rFonts w:cs="David" w:ascii="David" w:hAnsi="David"/>
        </w:rPr>
        <w:t>158.1</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 לכ</w:t>
      </w:r>
      <w:r>
        <w:rPr>
          <w:rFonts w:cs="David" w:ascii="David" w:hAnsi="David"/>
          <w:rtl w:val="true"/>
        </w:rPr>
        <w:t>-</w:t>
      </w:r>
      <w:r>
        <w:rPr>
          <w:rFonts w:cs="David" w:ascii="David" w:hAnsi="David"/>
        </w:rPr>
        <w:t>170.7</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בהנחה של עלייה נומינלית בשיעור של כ</w:t>
      </w:r>
      <w:r>
        <w:rPr>
          <w:rFonts w:cs="David" w:ascii="David" w:hAnsi="David"/>
          <w:rtl w:val="true"/>
        </w:rPr>
        <w:t>-</w:t>
      </w:r>
      <w:r>
        <w:rPr>
          <w:rFonts w:cs="David" w:ascii="David" w:hAnsi="David"/>
        </w:rPr>
        <w:t>8%</w:t>
      </w:r>
      <w:r>
        <w:rPr>
          <w:rFonts w:cs="David" w:ascii="David" w:hAnsi="David"/>
          <w:rtl w:val="true"/>
        </w:rPr>
        <w:t xml:space="preserve"> </w:t>
      </w:r>
      <w:r>
        <w:rPr>
          <w:rFonts w:ascii="David" w:hAnsi="David" w:cs="David"/>
          <w:rtl w:val="true"/>
        </w:rPr>
        <w:t>במחירי הדירות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היטל ההשבחה הצפוי לפי בדיקת הסבירות בדוגמה זו עומד על כ</w:t>
      </w:r>
      <w:r>
        <w:rPr>
          <w:rFonts w:cs="David" w:ascii="David" w:hAnsi="David"/>
          <w:rtl w:val="true"/>
        </w:rPr>
        <w:t>-</w:t>
      </w:r>
      <w:r>
        <w:rPr>
          <w:rFonts w:cs="David" w:ascii="David" w:hAnsi="David"/>
        </w:rPr>
        <w:t>12.8</w:t>
      </w:r>
      <w:r>
        <w:rPr>
          <w:rFonts w:cs="David" w:ascii="David" w:hAnsi="David"/>
          <w:rtl w:val="true"/>
        </w:rPr>
        <w:t xml:space="preserve"> </w:t>
      </w:r>
      <w:r>
        <w:rPr>
          <w:rFonts w:ascii="David" w:hAnsi="David" w:cs="David"/>
          <w:rtl w:val="true"/>
        </w:rPr>
        <w:t>מיליון ש</w:t>
      </w:r>
      <w:r>
        <w:rPr>
          <w:rFonts w:cs="David" w:ascii="David" w:hAnsi="David"/>
          <w:rtl w:val="true"/>
        </w:rPr>
        <w:t>"</w:t>
      </w:r>
      <w:r>
        <w:rPr>
          <w:rFonts w:ascii="David" w:hAnsi="David" w:cs="David"/>
          <w:rtl w:val="true"/>
        </w:rPr>
        <w:t>ח</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בענייננו</w:t>
      </w:r>
      <w:r>
        <w:rPr>
          <w:rFonts w:cs="David" w:ascii="David" w:hAnsi="David"/>
          <w:rtl w:val="true"/>
        </w:rPr>
        <w:t xml:space="preserve">, </w:t>
      </w:r>
      <w:r>
        <w:rPr>
          <w:rFonts w:ascii="David" w:hAnsi="David" w:cs="David"/>
          <w:rtl w:val="true"/>
        </w:rPr>
        <w:t>סכום ההשבחה המצרפי המתקבל מהשומות המכריעות</w:t>
      </w:r>
      <w:r>
        <w:rPr>
          <w:rFonts w:cs="David" w:ascii="David" w:hAnsi="David"/>
          <w:rtl w:val="true"/>
        </w:rPr>
        <w:t xml:space="preserve">, </w:t>
      </w:r>
      <w:r>
        <w:rPr>
          <w:rFonts w:ascii="David" w:hAnsi="David" w:cs="David"/>
          <w:rtl w:val="true"/>
        </w:rPr>
        <w:t>בהיעדר פטור בגין שטחי המרחבים המוגנים</w:t>
      </w:r>
      <w:r>
        <w:rPr>
          <w:rFonts w:cs="David" w:ascii="David" w:hAnsi="David"/>
          <w:rtl w:val="true"/>
        </w:rPr>
        <w:t xml:space="preserve">, </w:t>
      </w:r>
      <w:r>
        <w:rPr>
          <w:rFonts w:ascii="David" w:hAnsi="David" w:cs="David"/>
          <w:rtl w:val="true"/>
        </w:rPr>
        <w:t xml:space="preserve">עומד על </w:t>
      </w:r>
      <w:r>
        <w:rPr>
          <w:rFonts w:cs="David" w:ascii="David" w:hAnsi="David"/>
        </w:rPr>
        <w:t>40,214,476</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והוא מהווה כ</w:t>
      </w:r>
      <w:r>
        <w:rPr>
          <w:rFonts w:cs="David" w:ascii="David" w:hAnsi="David"/>
          <w:rtl w:val="true"/>
        </w:rPr>
        <w:t>-</w:t>
      </w:r>
      <w:r>
        <w:rPr>
          <w:rFonts w:cs="David" w:ascii="David" w:hAnsi="David"/>
        </w:rPr>
        <w:t>20%</w:t>
      </w:r>
      <w:r>
        <w:rPr>
          <w:rFonts w:cs="David" w:ascii="David" w:hAnsi="David"/>
          <w:rtl w:val="true"/>
        </w:rPr>
        <w:t xml:space="preserve"> </w:t>
      </w:r>
      <w:r>
        <w:rPr>
          <w:rFonts w:ascii="David" w:hAnsi="David" w:cs="David"/>
          <w:rtl w:val="true"/>
        </w:rPr>
        <w:t>משווי המצב הקודם כפי שנקבע בשומות המכריעות</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אם נחריג את שטחי המרחבים המוגנים מהתחשיב</w:t>
      </w:r>
      <w:r>
        <w:rPr>
          <w:rFonts w:cs="David" w:ascii="David" w:hAnsi="David"/>
          <w:rtl w:val="true"/>
        </w:rPr>
        <w:t xml:space="preserve">, </w:t>
      </w:r>
      <w:r>
        <w:rPr>
          <w:rFonts w:ascii="David" w:hAnsi="David" w:cs="David"/>
          <w:rtl w:val="true"/>
        </w:rPr>
        <w:t xml:space="preserve">סכום ההשבחה המצרפי המתקבל מהשומות המכריעות עומד על </w:t>
      </w:r>
      <w:r>
        <w:rPr>
          <w:rFonts w:cs="David" w:ascii="David" w:hAnsi="David"/>
        </w:rPr>
        <w:t>20,900,650</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ומהווה כ</w:t>
      </w:r>
      <w:r>
        <w:rPr>
          <w:rFonts w:cs="David" w:ascii="David" w:hAnsi="David"/>
          <w:rtl w:val="true"/>
        </w:rPr>
        <w:t>-</w:t>
      </w:r>
      <w:r>
        <w:rPr>
          <w:rFonts w:cs="David" w:ascii="David" w:hAnsi="David"/>
        </w:rPr>
        <w:t>13%</w:t>
      </w:r>
      <w:r>
        <w:rPr>
          <w:rFonts w:cs="David" w:ascii="David" w:hAnsi="David"/>
          <w:rtl w:val="true"/>
        </w:rPr>
        <w:t xml:space="preserve"> </w:t>
      </w:r>
      <w:r>
        <w:rPr>
          <w:rFonts w:ascii="David" w:hAnsi="David" w:cs="David"/>
          <w:rtl w:val="true"/>
        </w:rPr>
        <w:t>משווי המצב הקודם כפי שנקבע בשומות המכריעות</w:t>
      </w:r>
      <w:r>
        <w:rPr>
          <w:rFonts w:cs="David" w:ascii="David" w:hAnsi="David"/>
          <w:rtl w:val="true"/>
        </w:rPr>
        <w:t xml:space="preserve">. </w:t>
      </w:r>
      <w:r>
        <w:rPr>
          <w:rFonts w:ascii="David" w:hAnsi="David" w:cs="David"/>
          <w:rtl w:val="true"/>
        </w:rPr>
        <w:t>שיעור זה דומה במהותו לשיעור המתקבל על יסוד הדו</w:t>
      </w:r>
      <w:r>
        <w:rPr>
          <w:rFonts w:cs="David" w:ascii="David" w:hAnsi="David"/>
          <w:rtl w:val="true"/>
        </w:rPr>
        <w:t>"</w:t>
      </w:r>
      <w:r>
        <w:rPr>
          <w:rFonts w:ascii="David" w:hAnsi="David" w:cs="David"/>
          <w:rtl w:val="true"/>
        </w:rPr>
        <w:t>ח הכלכלי בהתחשב בשינויים שחלו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פני הדברים ראוי היה לאמצו</w:t>
      </w:r>
      <w:r>
        <w:rPr>
          <w:rFonts w:cs="David" w:ascii="David" w:hAnsi="David"/>
          <w:rtl w:val="true"/>
        </w:rPr>
        <w:t xml:space="preserve">, </w:t>
      </w:r>
      <w:r>
        <w:rPr>
          <w:rFonts w:ascii="David" w:hAnsi="David" w:cs="David"/>
          <w:rtl w:val="true"/>
        </w:rPr>
        <w:t xml:space="preserve">אלא שהיטל ההשבחה שלשיטת הוועדה המקומית יש לחייב בו עומד על </w:t>
      </w:r>
      <w:r>
        <w:rPr>
          <w:rFonts w:cs="David" w:ascii="David" w:hAnsi="David"/>
        </w:rPr>
        <w:t>41,583,228</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 xml:space="preserve">סכום ההשבחה שממנו נגזר היטל זה עומד על </w:t>
      </w:r>
      <w:r>
        <w:rPr>
          <w:rFonts w:cs="David" w:ascii="David" w:hAnsi="David"/>
        </w:rPr>
        <w:t>83,166,457</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והוא מהווה כ</w:t>
      </w:r>
      <w:r>
        <w:rPr>
          <w:rFonts w:cs="David" w:ascii="David" w:hAnsi="David"/>
          <w:rtl w:val="true"/>
        </w:rPr>
        <w:t>-</w:t>
      </w:r>
      <w:r>
        <w:rPr>
          <w:rFonts w:cs="David" w:ascii="David" w:hAnsi="David"/>
        </w:rPr>
        <w:t>52%</w:t>
      </w:r>
      <w:r>
        <w:rPr>
          <w:rFonts w:cs="David" w:ascii="David" w:hAnsi="David"/>
          <w:rtl w:val="true"/>
        </w:rPr>
        <w:t xml:space="preserve"> </w:t>
      </w:r>
      <w:r>
        <w:rPr>
          <w:rFonts w:ascii="David" w:hAnsi="David" w:cs="David"/>
          <w:rtl w:val="true"/>
        </w:rPr>
        <w:t>משווי המצב הקודם כפי שנקבע בשומות המכריעות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האם ניתן להניח כי בפרק זמן של כשנה בלבד חל שינוי כה קיצוני בהשבחה הנובעת מהתוכנית</w:t>
      </w:r>
      <w:r>
        <w:rPr>
          <w:rFonts w:cs="David" w:ascii="David" w:hAnsi="David"/>
          <w:rtl w:val="true"/>
        </w:rPr>
        <w:t xml:space="preserve">, </w:t>
      </w:r>
      <w:r>
        <w:rPr>
          <w:rFonts w:ascii="David" w:hAnsi="David" w:cs="David"/>
          <w:rtl w:val="true"/>
        </w:rPr>
        <w:t>עד כדי התוצאה שלה טוענת הוועדה המקומית</w:t>
      </w:r>
      <w:r>
        <w:rPr>
          <w:rFonts w:cs="David" w:ascii="David" w:hAnsi="David"/>
          <w:rtl w:val="true"/>
        </w:rPr>
        <w:t xml:space="preserve">? </w:t>
      </w:r>
      <w:r>
        <w:rPr>
          <w:rFonts w:ascii="David" w:hAnsi="David" w:cs="David"/>
          <w:rtl w:val="true"/>
        </w:rPr>
        <w:t>השומות המכריעות מלמדות כי התשובה לכך שלילית</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אף אם נביא בחשבון עלייה ריאלית במחירים</w:t>
      </w:r>
      <w:r>
        <w:rPr>
          <w:rFonts w:cs="David" w:ascii="David" w:hAnsi="David"/>
          <w:rtl w:val="true"/>
        </w:rPr>
        <w:t xml:space="preserve">, </w:t>
      </w:r>
      <w:r>
        <w:rPr>
          <w:rFonts w:ascii="David" w:hAnsi="David" w:cs="David"/>
          <w:rtl w:val="true"/>
        </w:rPr>
        <w:t>שינויים תכנוניים מסוימים ושינויים כלכליים אחרים שחלו בשוק ביחס לנתונים שעמדו ביסוד הדו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עדיין נותר פער קיצוני בין התוצאות</w:t>
      </w:r>
      <w:r>
        <w:rPr>
          <w:rFonts w:cs="David" w:ascii="David" w:hAnsi="David"/>
          <w:rtl w:val="true"/>
        </w:rPr>
        <w:t xml:space="preserve">, </w:t>
      </w:r>
      <w:r>
        <w:rPr>
          <w:rFonts w:ascii="David" w:hAnsi="David" w:cs="David"/>
          <w:rtl w:val="true"/>
        </w:rPr>
        <w:t>אשר על פני הדברים אינו מתיישב עם השינוי שניתן היה לצפות לו בפרק הזמן האמור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למעשה</w:t>
      </w:r>
      <w:r>
        <w:rPr>
          <w:rFonts w:cs="David" w:ascii="David" w:hAnsi="David"/>
          <w:rtl w:val="true"/>
        </w:rPr>
        <w:t xml:space="preserve">, </w:t>
      </w:r>
      <w:r>
        <w:rPr>
          <w:rFonts w:ascii="David" w:hAnsi="David" w:cs="David"/>
          <w:rtl w:val="true"/>
        </w:rPr>
        <w:t>התוצאה שאליה הגיעו השומות המכריעות</w:t>
      </w:r>
      <w:r>
        <w:rPr>
          <w:rFonts w:cs="David" w:ascii="David" w:hAnsi="David"/>
          <w:rtl w:val="true"/>
        </w:rPr>
        <w:t xml:space="preserve">, </w:t>
      </w:r>
      <w:r>
        <w:rPr>
          <w:rFonts w:ascii="David" w:hAnsi="David" w:cs="David"/>
          <w:rtl w:val="true"/>
        </w:rPr>
        <w:t>תחת ההנחה כי חל פטור בגין שטחי המרחבים המוגנים</w:t>
      </w:r>
      <w:r>
        <w:rPr>
          <w:rFonts w:cs="David" w:ascii="David" w:hAnsi="David"/>
          <w:rtl w:val="true"/>
        </w:rPr>
        <w:t xml:space="preserve">, </w:t>
      </w:r>
      <w:r>
        <w:rPr>
          <w:rFonts w:ascii="David" w:hAnsi="David" w:cs="David"/>
          <w:rtl w:val="true"/>
        </w:rPr>
        <w:t>מתיישבת עם הדו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התאמה זו מחזקת את המסקנה כי שיעור ההשבחה שנקבע בשומות המכריעות</w:t>
      </w:r>
      <w:r>
        <w:rPr>
          <w:rFonts w:cs="David" w:ascii="David" w:hAnsi="David"/>
          <w:rtl w:val="true"/>
        </w:rPr>
        <w:t xml:space="preserve">, </w:t>
      </w:r>
      <w:r>
        <w:rPr>
          <w:rFonts w:ascii="David" w:hAnsi="David" w:cs="David"/>
          <w:rtl w:val="true"/>
        </w:rPr>
        <w:t>בהינתן הנחה זו</w:t>
      </w:r>
      <w:r>
        <w:rPr>
          <w:rFonts w:cs="David" w:ascii="David" w:hAnsi="David"/>
          <w:rtl w:val="true"/>
        </w:rPr>
        <w:t xml:space="preserve">, </w:t>
      </w:r>
      <w:r>
        <w:rPr>
          <w:rFonts w:ascii="David" w:hAnsi="David" w:cs="David"/>
          <w:rtl w:val="true"/>
        </w:rPr>
        <w:t>משקף באופן סביר את ההתעשרות שצמחה לבעלי הזכויות עקב אישורה של התוכנית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ויוטעם</w:t>
      </w:r>
      <w:r>
        <w:rPr>
          <w:rFonts w:cs="David" w:ascii="David" w:hAnsi="David"/>
          <w:rtl w:val="true"/>
        </w:rPr>
        <w:t xml:space="preserve">, </w:t>
      </w:r>
      <w:r>
        <w:rPr>
          <w:rFonts w:ascii="David" w:hAnsi="David" w:cs="David"/>
          <w:rtl w:val="true"/>
        </w:rPr>
        <w:t>אין בבחינה האמורה כדי ללמד על עצם הזכאות לפטור בגין שטחי המרחבים המוגנים</w:t>
      </w:r>
      <w:r>
        <w:rPr>
          <w:rFonts w:cs="David" w:ascii="David" w:hAnsi="David"/>
          <w:rtl w:val="true"/>
        </w:rPr>
        <w:t xml:space="preserve">. </w:t>
      </w:r>
      <w:r>
        <w:rPr>
          <w:rFonts w:ascii="David" w:hAnsi="David" w:cs="David"/>
          <w:rtl w:val="true"/>
        </w:rPr>
        <w:t>שאלת תחולתו של הפטור היא שאלה משפטית נפרדת</w:t>
      </w:r>
      <w:r>
        <w:rPr>
          <w:rFonts w:cs="David" w:ascii="David" w:hAnsi="David"/>
          <w:rtl w:val="true"/>
        </w:rPr>
        <w:t xml:space="preserve">, </w:t>
      </w:r>
      <w:r>
        <w:rPr>
          <w:rFonts w:ascii="David" w:hAnsi="David" w:cs="David"/>
          <w:rtl w:val="true"/>
        </w:rPr>
        <w:t>שיש להכריע בה בהתאם להוראות הדין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משכך</w:t>
      </w:r>
      <w:r>
        <w:rPr>
          <w:rFonts w:cs="David" w:ascii="David" w:hAnsi="David"/>
          <w:rtl w:val="true"/>
        </w:rPr>
        <w:t xml:space="preserve">, </w:t>
      </w:r>
      <w:r>
        <w:rPr>
          <w:rFonts w:ascii="David" w:hAnsi="David" w:cs="David"/>
          <w:rtl w:val="true"/>
        </w:rPr>
        <w:t>וככל שייקבע כי בעלי הזכויות אכן זכאים לפטור האמור</w:t>
      </w:r>
      <w:r>
        <w:rPr>
          <w:rFonts w:cs="David" w:ascii="David" w:hAnsi="David"/>
          <w:rtl w:val="true"/>
        </w:rPr>
        <w:t xml:space="preserve">, </w:t>
      </w:r>
      <w:r>
        <w:rPr>
          <w:rFonts w:ascii="David" w:hAnsi="David" w:cs="David"/>
          <w:rtl w:val="true"/>
        </w:rPr>
        <w:t>אין בתוצאה השמאית שהתקבלה בשומות המכריעות</w:t>
      </w:r>
      <w:r>
        <w:rPr>
          <w:rFonts w:cs="David" w:ascii="David" w:hAnsi="David"/>
          <w:rtl w:val="true"/>
        </w:rPr>
        <w:t xml:space="preserve">, </w:t>
      </w:r>
      <w:r>
        <w:rPr>
          <w:rFonts w:ascii="David" w:hAnsi="David" w:cs="David"/>
          <w:rtl w:val="true"/>
        </w:rPr>
        <w:t>כשלעצמה</w:t>
      </w:r>
      <w:r>
        <w:rPr>
          <w:rFonts w:cs="David" w:ascii="David" w:hAnsi="David"/>
          <w:rtl w:val="true"/>
        </w:rPr>
        <w:t xml:space="preserve">, </w:t>
      </w:r>
      <w:r>
        <w:rPr>
          <w:rFonts w:ascii="David" w:hAnsi="David" w:cs="David"/>
          <w:rtl w:val="true"/>
        </w:rPr>
        <w:t>עילה להתערבותנו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ואכן</w:t>
      </w:r>
      <w:r>
        <w:rPr>
          <w:rFonts w:cs="David" w:ascii="David" w:hAnsi="David"/>
          <w:rtl w:val="true"/>
        </w:rPr>
        <w:t xml:space="preserve">, </w:t>
      </w:r>
      <w:r>
        <w:rPr>
          <w:rFonts w:ascii="David" w:hAnsi="David" w:cs="David"/>
          <w:rtl w:val="true"/>
        </w:rPr>
        <w:t xml:space="preserve">דרך החישוב שננקטה בשומות המכריעות אינה תואמת במלואה את המתודולוגיה שהותוותה לאחר מכן </w:t>
      </w:r>
      <w:r>
        <w:rPr>
          <w:rFonts w:ascii="Miriam" w:hAnsi="Miriam" w:cs="Miriam"/>
          <w:rtl w:val="true"/>
        </w:rPr>
        <w:t>בעניין נועה לב</w:t>
      </w:r>
      <w:r>
        <w:rPr>
          <w:rFonts w:cs="David" w:ascii="David" w:hAnsi="David"/>
          <w:rtl w:val="true"/>
        </w:rPr>
        <w:t xml:space="preserve">. </w:t>
      </w:r>
      <w:r>
        <w:rPr>
          <w:rFonts w:ascii="David" w:hAnsi="David" w:cs="David"/>
          <w:rtl w:val="true"/>
        </w:rPr>
        <w:t>עם זאת</w:t>
      </w:r>
      <w:r>
        <w:rPr>
          <w:rFonts w:cs="David" w:ascii="David" w:hAnsi="David"/>
          <w:rtl w:val="true"/>
        </w:rPr>
        <w:t xml:space="preserve">, </w:t>
      </w:r>
      <w:r>
        <w:rPr>
          <w:rFonts w:ascii="David" w:hAnsi="David" w:cs="David"/>
          <w:rtl w:val="true"/>
        </w:rPr>
        <w:t>בנסיבות העניין</w:t>
      </w:r>
      <w:r>
        <w:rPr>
          <w:rFonts w:cs="David" w:ascii="David" w:hAnsi="David"/>
          <w:rtl w:val="true"/>
        </w:rPr>
        <w:t xml:space="preserve">, </w:t>
      </w:r>
      <w:r>
        <w:rPr>
          <w:rFonts w:ascii="David" w:hAnsi="David" w:cs="David"/>
          <w:rtl w:val="true"/>
        </w:rPr>
        <w:t>אין בהבדל זה כשלעצמו כדי להצדיק התערבות בשומות</w:t>
      </w:r>
      <w:r>
        <w:rPr>
          <w:rFonts w:cs="David" w:ascii="David" w:hAnsi="David"/>
          <w:rtl w:val="true"/>
        </w:rPr>
        <w:t xml:space="preserve">. </w:t>
      </w:r>
      <w:r>
        <w:rPr>
          <w:rFonts w:ascii="David" w:hAnsi="David" w:cs="David"/>
          <w:rtl w:val="true"/>
        </w:rPr>
        <w:t>המתודולוגיה השמאית נועדה לסייע באומדן עליית שווי המקרקעין עקב הפעולה התכנונית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בענייננו</w:t>
      </w:r>
      <w:r>
        <w:rPr>
          <w:rFonts w:cs="David" w:ascii="David" w:hAnsi="David"/>
          <w:rtl w:val="true"/>
        </w:rPr>
        <w:t xml:space="preserve">, </w:t>
      </w:r>
      <w:r>
        <w:rPr>
          <w:rFonts w:ascii="David" w:hAnsi="David" w:cs="David"/>
          <w:rtl w:val="true"/>
        </w:rPr>
        <w:t>בחינת מכלול הנתונים שביסוד השומות המכריעות</w:t>
      </w:r>
      <w:r>
        <w:rPr>
          <w:rFonts w:cs="David" w:ascii="David" w:hAnsi="David"/>
          <w:rtl w:val="true"/>
        </w:rPr>
        <w:t xml:space="preserve">, </w:t>
      </w:r>
      <w:r>
        <w:rPr>
          <w:rFonts w:ascii="David" w:hAnsi="David" w:cs="David"/>
          <w:rtl w:val="true"/>
        </w:rPr>
        <w:t>כפי שיפורט להלן</w:t>
      </w:r>
      <w:r>
        <w:rPr>
          <w:rFonts w:cs="David" w:ascii="David" w:hAnsi="David"/>
          <w:rtl w:val="true"/>
        </w:rPr>
        <w:t xml:space="preserve">, </w:t>
      </w:r>
      <w:r>
        <w:rPr>
          <w:rFonts w:ascii="David" w:hAnsi="David" w:cs="David"/>
          <w:rtl w:val="true"/>
        </w:rPr>
        <w:t>מלמדת כי ניתנה בהן התייחסות מבוססת לערכי השווי ולמאפייני מימושו של המיזם</w:t>
      </w:r>
      <w:r>
        <w:rPr>
          <w:rFonts w:cs="David" w:ascii="David" w:hAnsi="David"/>
          <w:rtl w:val="true"/>
        </w:rPr>
        <w:t xml:space="preserve">. </w:t>
      </w:r>
      <w:r>
        <w:rPr>
          <w:rFonts w:ascii="David" w:hAnsi="David" w:cs="David"/>
          <w:rtl w:val="true"/>
        </w:rPr>
        <w:t>לכך מצטרפת בדיקת הבקרה מול הדו</w:t>
      </w:r>
      <w:r>
        <w:rPr>
          <w:rFonts w:cs="David" w:ascii="David" w:hAnsi="David"/>
          <w:rtl w:val="true"/>
        </w:rPr>
        <w:t>"</w:t>
      </w:r>
      <w:r>
        <w:rPr>
          <w:rFonts w:ascii="David" w:hAnsi="David" w:cs="David"/>
          <w:rtl w:val="true"/>
        </w:rPr>
        <w:t>ח הכלכלי</w:t>
      </w:r>
      <w:r>
        <w:rPr>
          <w:rFonts w:cs="David" w:ascii="David" w:hAnsi="David"/>
          <w:rtl w:val="true"/>
        </w:rPr>
        <w:t xml:space="preserve">, </w:t>
      </w:r>
      <w:r>
        <w:rPr>
          <w:rFonts w:ascii="David" w:hAnsi="David" w:cs="David"/>
          <w:rtl w:val="true"/>
        </w:rPr>
        <w:t>המחזקת את סבירות התוצאה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בנסיבות אלה</w:t>
      </w:r>
      <w:r>
        <w:rPr>
          <w:rFonts w:cs="David" w:ascii="David" w:hAnsi="David"/>
          <w:rtl w:val="true"/>
        </w:rPr>
        <w:t xml:space="preserve">, </w:t>
      </w:r>
      <w:r>
        <w:rPr>
          <w:rFonts w:ascii="David" w:hAnsi="David" w:cs="David"/>
          <w:rtl w:val="true"/>
        </w:rPr>
        <w:t>אין די בהצבעה על תוצאה חשבונאית שונה הנובעת משינוי באופן החלתו של מקדם הדחייה – אף אם זו התוצאה המתקבלת</w:t>
      </w:r>
      <w:r>
        <w:rPr>
          <w:rFonts w:cs="David" w:ascii="David" w:hAnsi="David"/>
          <w:rtl w:val="true"/>
        </w:rPr>
        <w:t xml:space="preserve">, </w:t>
      </w:r>
      <w:r>
        <w:rPr>
          <w:rFonts w:ascii="David" w:hAnsi="David" w:cs="David"/>
          <w:rtl w:val="true"/>
        </w:rPr>
        <w:t>לכאורה</w:t>
      </w:r>
      <w:r>
        <w:rPr>
          <w:rFonts w:cs="David" w:ascii="David" w:hAnsi="David"/>
          <w:rtl w:val="true"/>
        </w:rPr>
        <w:t xml:space="preserve">, </w:t>
      </w:r>
      <w:r>
        <w:rPr>
          <w:rFonts w:ascii="David" w:hAnsi="David" w:cs="David"/>
          <w:rtl w:val="true"/>
        </w:rPr>
        <w:t xml:space="preserve">מיישומו הנטען של פסק הדין </w:t>
      </w:r>
      <w:r>
        <w:rPr>
          <w:rFonts w:ascii="Miriam" w:hAnsi="Miriam" w:cs="Miriam"/>
          <w:rtl w:val="true"/>
        </w:rPr>
        <w:t>בעניין נועה לב</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לגישתנו</w:t>
      </w:r>
      <w:r>
        <w:rPr>
          <w:rFonts w:cs="David" w:ascii="David" w:hAnsi="David"/>
          <w:rtl w:val="true"/>
        </w:rPr>
        <w:t xml:space="preserve">, </w:t>
      </w:r>
      <w:r>
        <w:rPr>
          <w:rFonts w:ascii="David" w:hAnsi="David" w:cs="David"/>
          <w:rtl w:val="true"/>
        </w:rPr>
        <w:t>אין די בהצבעה על תוצאה זו כשלעצמה</w:t>
      </w:r>
      <w:r>
        <w:rPr>
          <w:rFonts w:cs="David" w:ascii="David" w:hAnsi="David"/>
          <w:rtl w:val="true"/>
        </w:rPr>
        <w:t xml:space="preserve">, </w:t>
      </w:r>
      <w:r>
        <w:rPr>
          <w:rFonts w:ascii="David" w:hAnsi="David" w:cs="David"/>
          <w:rtl w:val="true"/>
        </w:rPr>
        <w:t>אלא נדרש להראות כי היא מלמדת על חסר מהותי באומדן עליית השווי שנקבע בשומות המכריעות</w:t>
      </w:r>
      <w:r>
        <w:rPr>
          <w:rFonts w:cs="David" w:ascii="David" w:hAnsi="David"/>
          <w:rtl w:val="true"/>
        </w:rPr>
        <w:t xml:space="preserve">. </w:t>
      </w:r>
      <w:r>
        <w:rPr>
          <w:rFonts w:ascii="David" w:hAnsi="David" w:cs="David"/>
          <w:rtl w:val="true"/>
        </w:rPr>
        <w:t>לאחר שבחנו את נסיבות המקרה</w:t>
      </w:r>
      <w:r>
        <w:rPr>
          <w:rFonts w:cs="David" w:ascii="David" w:hAnsi="David"/>
          <w:rtl w:val="true"/>
        </w:rPr>
        <w:t xml:space="preserve">, </w:t>
      </w:r>
      <w:r>
        <w:rPr>
          <w:rFonts w:ascii="David" w:hAnsi="David" w:cs="David"/>
          <w:rtl w:val="true"/>
        </w:rPr>
        <w:t>לא שוכנענו כי הונחה תשתית מספקת למסקנה זו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בהקשר זה חשוב להבהיר כי דרך יישומה של המתודולוגיה שנקבעה </w:t>
      </w:r>
      <w:r>
        <w:rPr>
          <w:rFonts w:ascii="Miriam" w:hAnsi="Miriam" w:cs="Miriam"/>
          <w:rtl w:val="true"/>
        </w:rPr>
        <w:t>בעניין נועה לב</w:t>
      </w:r>
      <w:r>
        <w:rPr>
          <w:rFonts w:ascii="David" w:hAnsi="David" w:cs="David"/>
          <w:rtl w:val="true"/>
        </w:rPr>
        <w:t xml:space="preserve"> טרם זכתה לליבון ממצה בפסיקה</w:t>
      </w:r>
      <w:r>
        <w:rPr>
          <w:rFonts w:cs="David" w:ascii="David" w:hAnsi="David"/>
          <w:rtl w:val="true"/>
        </w:rPr>
        <w:t xml:space="preserve">. </w:t>
      </w:r>
      <w:r>
        <w:rPr>
          <w:rFonts w:ascii="David" w:hAnsi="David" w:cs="David"/>
          <w:rtl w:val="true"/>
        </w:rPr>
        <w:t>על כן</w:t>
      </w:r>
      <w:r>
        <w:rPr>
          <w:rFonts w:cs="David" w:ascii="David" w:hAnsi="David"/>
          <w:rtl w:val="true"/>
        </w:rPr>
        <w:t xml:space="preserve">, </w:t>
      </w:r>
      <w:r>
        <w:rPr>
          <w:rFonts w:ascii="David" w:hAnsi="David" w:cs="David"/>
          <w:rtl w:val="true"/>
        </w:rPr>
        <w:t>אין לומר כי החלתה על נסיבות המקרה שלפנינו הייתה מוליכה</w:t>
      </w:r>
      <w:r>
        <w:rPr>
          <w:rFonts w:cs="David" w:ascii="David" w:hAnsi="David"/>
          <w:rtl w:val="true"/>
        </w:rPr>
        <w:t xml:space="preserve">, </w:t>
      </w:r>
      <w:r>
        <w:rPr>
          <w:rFonts w:ascii="David" w:hAnsi="David" w:cs="David"/>
          <w:rtl w:val="true"/>
        </w:rPr>
        <w:t>בהכרח</w:t>
      </w:r>
      <w:r>
        <w:rPr>
          <w:rFonts w:cs="David" w:ascii="David" w:hAnsi="David"/>
          <w:rtl w:val="true"/>
        </w:rPr>
        <w:t xml:space="preserve">, </w:t>
      </w:r>
      <w:r>
        <w:rPr>
          <w:rFonts w:ascii="David" w:hAnsi="David" w:cs="David"/>
          <w:rtl w:val="true"/>
        </w:rPr>
        <w:t xml:space="preserve">לתוצאה לה טוענת הוועדה המקומית </w:t>
      </w:r>
      <w:r>
        <w:rPr>
          <w:rFonts w:cs="David" w:ascii="David" w:hAnsi="David"/>
          <w:rtl w:val="true"/>
        </w:rPr>
        <w:t>(</w:t>
      </w:r>
      <w:r>
        <w:rPr>
          <w:rFonts w:ascii="David" w:hAnsi="David" w:cs="David"/>
          <w:rtl w:val="true"/>
        </w:rPr>
        <w:t>ראו והשוו</w:t>
      </w:r>
      <w:r>
        <w:rPr>
          <w:rFonts w:cs="David" w:ascii="David" w:hAnsi="David"/>
          <w:rtl w:val="true"/>
        </w:rPr>
        <w:t xml:space="preserve">: </w:t>
      </w:r>
      <w:r>
        <w:rPr>
          <w:rFonts w:ascii="David" w:hAnsi="David" w:cs="David"/>
          <w:rtl w:val="true"/>
        </w:rPr>
        <w:t xml:space="preserve">ערר </w:t>
      </w:r>
      <w:r>
        <w:rPr>
          <w:rFonts w:cs="David" w:ascii="David" w:hAnsi="David"/>
          <w:rtl w:val="true"/>
        </w:rPr>
        <w:t>(</w:t>
      </w:r>
      <w:r>
        <w:rPr>
          <w:rFonts w:ascii="David" w:hAnsi="David" w:cs="David"/>
          <w:rtl w:val="true"/>
        </w:rPr>
        <w:t xml:space="preserve">ועדות ערר </w:t>
      </w:r>
      <w:r>
        <w:rPr>
          <w:rFonts w:cs="David" w:ascii="David" w:hAnsi="David"/>
          <w:rtl w:val="true"/>
        </w:rPr>
        <w:t xml:space="preserve">- </w:t>
      </w:r>
      <w:r>
        <w:rPr>
          <w:rFonts w:ascii="David" w:hAnsi="David" w:cs="David"/>
          <w:rtl w:val="true"/>
        </w:rPr>
        <w:t>תכנון ובנייה תל אביב</w:t>
      </w:r>
      <w:r>
        <w:rPr>
          <w:rFonts w:cs="David" w:ascii="David" w:hAnsi="David"/>
          <w:rtl w:val="true"/>
        </w:rPr>
        <w:t>-</w:t>
      </w:r>
      <w:r>
        <w:rPr>
          <w:rFonts w:ascii="David" w:hAnsi="David" w:cs="David"/>
          <w:rtl w:val="true"/>
        </w:rPr>
        <w:t>יפו</w:t>
      </w:r>
      <w:r>
        <w:rPr>
          <w:rFonts w:cs="David" w:ascii="David" w:hAnsi="David"/>
          <w:rtl w:val="true"/>
        </w:rPr>
        <w:t xml:space="preserve">) </w:t>
      </w:r>
      <w:r>
        <w:rPr>
          <w:rFonts w:cs="David" w:ascii="David" w:hAnsi="David"/>
        </w:rPr>
        <w:t>84122-08-25</w:t>
      </w:r>
      <w:r>
        <w:rPr>
          <w:rFonts w:cs="David" w:ascii="David" w:hAnsi="David"/>
          <w:rtl w:val="true"/>
        </w:rPr>
        <w:t xml:space="preserve"> </w:t>
      </w:r>
      <w:r>
        <w:rPr>
          <w:rFonts w:ascii="Miriam" w:hAnsi="Miriam" w:cs="Miriam"/>
          <w:rtl w:val="true"/>
        </w:rPr>
        <w:t>הוועדה המקומית לתכנון ולבניה רמת גן נ</w:t>
      </w:r>
      <w:r>
        <w:rPr>
          <w:rFonts w:cs="Miriam" w:ascii="Miriam" w:hAnsi="Miriam"/>
          <w:rtl w:val="true"/>
        </w:rPr>
        <w:t xml:space="preserve">' </w:t>
      </w:r>
      <w:r>
        <w:rPr>
          <w:rFonts w:ascii="Miriam" w:hAnsi="Miriam" w:cs="Miriam"/>
          <w:rtl w:val="true"/>
        </w:rPr>
        <w:t>חברת אביב במקור בע״מ</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5.8.2026</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אשר להשגות הצדדים</w:t>
      </w:r>
      <w:r>
        <w:rPr>
          <w:rFonts w:cs="David" w:ascii="David" w:hAnsi="David"/>
          <w:rtl w:val="true"/>
        </w:rPr>
        <w:t xml:space="preserve">, </w:t>
      </w:r>
      <w:r>
        <w:rPr>
          <w:rFonts w:ascii="David" w:hAnsi="David" w:cs="David"/>
          <w:rtl w:val="true"/>
        </w:rPr>
        <w:t>נבהיר כי אין בידינו לקבלן</w:t>
      </w:r>
      <w:r>
        <w:rPr>
          <w:rFonts w:cs="David" w:ascii="David" w:hAnsi="David"/>
          <w:rtl w:val="true"/>
        </w:rPr>
        <w:t xml:space="preserve">. </w:t>
      </w:r>
      <w:r>
        <w:rPr>
          <w:rFonts w:ascii="David" w:hAnsi="David" w:cs="David"/>
          <w:rtl w:val="true"/>
        </w:rPr>
        <w:t>עיון בשומות המכריעות מלמד כי מקדם הדחייה נקבע על יסוד מסד נתונים שגובש לאחר בחינה יסודית ומעמיקה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הוועדה המקומית טוענת כי השמאית המכריעה לא נתנה ביטוי מספרי לשיעור ההסכמות שהושג בין בעלי הדירות הקיימות לבין דמרי</w:t>
      </w:r>
      <w:r>
        <w:rPr>
          <w:rFonts w:cs="David" w:ascii="David" w:hAnsi="David"/>
          <w:rtl w:val="true"/>
        </w:rPr>
        <w:t xml:space="preserve">, </w:t>
      </w:r>
      <w:r>
        <w:rPr>
          <w:rFonts w:ascii="David" w:hAnsi="David" w:cs="David"/>
          <w:rtl w:val="true"/>
        </w:rPr>
        <w:t>במועד הקובע לתוכנית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אין בידינו לקבל טענה זו</w:t>
      </w:r>
      <w:r>
        <w:rPr>
          <w:rFonts w:cs="David" w:ascii="David" w:hAnsi="David"/>
          <w:rtl w:val="true"/>
        </w:rPr>
        <w:t xml:space="preserve">. </w:t>
      </w:r>
      <w:r>
        <w:rPr>
          <w:rFonts w:ascii="David" w:hAnsi="David" w:cs="David"/>
          <w:rtl w:val="true"/>
        </w:rPr>
        <w:t>שיעור ההסכמות הוא רכיב אחד מתוך מכלול של גורמים המשפיעים על משך הדחייה</w:t>
      </w:r>
      <w:r>
        <w:rPr>
          <w:rFonts w:cs="David" w:ascii="David" w:hAnsi="David"/>
          <w:rtl w:val="true"/>
        </w:rPr>
        <w:t xml:space="preserve">. </w:t>
      </w:r>
      <w:r>
        <w:rPr>
          <w:rFonts w:ascii="David" w:hAnsi="David" w:cs="David"/>
          <w:rtl w:val="true"/>
        </w:rPr>
        <w:t>לצדו יש להביא בחשבון את פרק הזמן הנדרש להשלמת ההתקשרויות עם בעלי הדירות</w:t>
      </w:r>
      <w:r>
        <w:rPr>
          <w:rFonts w:cs="David" w:ascii="David" w:hAnsi="David"/>
          <w:rtl w:val="true"/>
        </w:rPr>
        <w:t xml:space="preserve">; </w:t>
      </w:r>
      <w:r>
        <w:rPr>
          <w:rFonts w:ascii="David" w:hAnsi="David" w:cs="David"/>
          <w:rtl w:val="true"/>
        </w:rPr>
        <w:t>להתמודדות עם בעלי דירות המסרבים להתקשר בעסקה</w:t>
      </w:r>
      <w:r>
        <w:rPr>
          <w:rFonts w:cs="David" w:ascii="David" w:hAnsi="David"/>
          <w:rtl w:val="true"/>
        </w:rPr>
        <w:t xml:space="preserve">; </w:t>
      </w:r>
      <w:r>
        <w:rPr>
          <w:rFonts w:ascii="David" w:hAnsi="David" w:cs="David"/>
          <w:rtl w:val="true"/>
        </w:rPr>
        <w:t>להליכי הרישוי ולהוצאת היתר בנייה</w:t>
      </w:r>
      <w:r>
        <w:rPr>
          <w:rFonts w:cs="David" w:ascii="David" w:hAnsi="David"/>
          <w:rtl w:val="true"/>
        </w:rPr>
        <w:t xml:space="preserve">; </w:t>
      </w:r>
      <w:r>
        <w:rPr>
          <w:rFonts w:ascii="David" w:hAnsi="David" w:cs="David"/>
          <w:rtl w:val="true"/>
        </w:rPr>
        <w:t>וכן לפינוי</w:t>
      </w:r>
      <w:r>
        <w:rPr>
          <w:rFonts w:cs="David" w:ascii="David" w:hAnsi="David"/>
          <w:rtl w:val="true"/>
        </w:rPr>
        <w:t xml:space="preserve">, </w:t>
      </w:r>
      <w:r>
        <w:rPr>
          <w:rFonts w:ascii="David" w:hAnsi="David" w:cs="David"/>
          <w:rtl w:val="true"/>
        </w:rPr>
        <w:t>להריסה</w:t>
      </w:r>
      <w:r>
        <w:rPr>
          <w:rFonts w:cs="David" w:ascii="David" w:hAnsi="David"/>
          <w:rtl w:val="true"/>
        </w:rPr>
        <w:t xml:space="preserve">, </w:t>
      </w:r>
      <w:r>
        <w:rPr>
          <w:rFonts w:ascii="David" w:hAnsi="David" w:cs="David"/>
          <w:rtl w:val="true"/>
        </w:rPr>
        <w:t>לביצוע העבודות</w:t>
      </w:r>
      <w:r>
        <w:rPr>
          <w:rFonts w:cs="David" w:ascii="David" w:hAnsi="David"/>
          <w:rtl w:val="true"/>
        </w:rPr>
        <w:t xml:space="preserve">, </w:t>
      </w:r>
      <w:r>
        <w:rPr>
          <w:rFonts w:ascii="David" w:hAnsi="David" w:cs="David"/>
          <w:rtl w:val="true"/>
        </w:rPr>
        <w:t>לשיווק ולמסירת הדירות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אף אין בידינו לקבל את טענות הוועדה המקומית בדבר טעויות שנפלו</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בהערכת הנתונים שעליהם נסמכו השומות המכריעות</w:t>
      </w:r>
      <w:r>
        <w:rPr>
          <w:rFonts w:cs="David" w:ascii="David" w:hAnsi="David"/>
          <w:rtl w:val="true"/>
        </w:rPr>
        <w:t xml:space="preserve">. </w:t>
      </w:r>
      <w:r>
        <w:rPr>
          <w:rFonts w:ascii="David" w:hAnsi="David" w:cs="David"/>
          <w:rtl w:val="true"/>
        </w:rPr>
        <w:t>עמדתה בהקשר זה מבוססת על חישוב משך הדחייה החל ממועד אישורה של תוכנית מאוחרת לתוכנית המקורית</w:t>
      </w:r>
      <w:r>
        <w:rPr>
          <w:rFonts w:cs="David" w:ascii="David" w:hAnsi="David"/>
          <w:rtl w:val="true"/>
        </w:rPr>
        <w:t xml:space="preserve">, </w:t>
      </w:r>
      <w:r>
        <w:rPr>
          <w:rFonts w:ascii="David" w:hAnsi="David" w:cs="David"/>
          <w:rtl w:val="true"/>
        </w:rPr>
        <w:t>אשר במקרים שהוצגו נועדה</w:t>
      </w:r>
      <w:r>
        <w:rPr>
          <w:rFonts w:cs="David" w:ascii="David" w:hAnsi="David"/>
          <w:rtl w:val="true"/>
        </w:rPr>
        <w:t xml:space="preserve">, </w:t>
      </w:r>
      <w:r>
        <w:rPr>
          <w:rFonts w:ascii="David" w:hAnsi="David" w:cs="David"/>
          <w:rtl w:val="true"/>
        </w:rPr>
        <w:t>ככלל</w:t>
      </w:r>
      <w:r>
        <w:rPr>
          <w:rFonts w:cs="David" w:ascii="David" w:hAnsi="David"/>
          <w:rtl w:val="true"/>
        </w:rPr>
        <w:t xml:space="preserve">, </w:t>
      </w:r>
      <w:r>
        <w:rPr>
          <w:rFonts w:ascii="David" w:hAnsi="David" w:cs="David"/>
          <w:rtl w:val="true"/>
        </w:rPr>
        <w:t>להוסיף זכויות לשם שיפור כדאיותו הכלכלית של המיזם</w:t>
      </w:r>
      <w:r>
        <w:rPr>
          <w:rFonts w:cs="David" w:ascii="David" w:hAnsi="David"/>
          <w:rtl w:val="true"/>
        </w:rPr>
        <w:t xml:space="preserve">. </w:t>
      </w:r>
      <w:r>
        <w:rPr>
          <w:rFonts w:ascii="David" w:hAnsi="David" w:cs="David"/>
          <w:rtl w:val="true"/>
        </w:rPr>
        <w:t>לכך מצטרפת העובדה כי במיזמים שהובאו כדוגמה מספר יחידות הדיור נמוך במידה ניכרת ממספר יחידות הדיור הכלולות בתוכנית שלפנינו</w:t>
      </w:r>
      <w:r>
        <w:rPr>
          <w:rFonts w:cs="David" w:ascii="David" w:hAnsi="David"/>
          <w:rtl w:val="true"/>
        </w:rPr>
        <w:t xml:space="preserve">. </w:t>
      </w:r>
      <w:r>
        <w:rPr>
          <w:rFonts w:ascii="David" w:hAnsi="David" w:cs="David"/>
          <w:rtl w:val="true"/>
        </w:rPr>
        <w:t>בנסיבות אלה</w:t>
      </w:r>
      <w:r>
        <w:rPr>
          <w:rFonts w:cs="David" w:ascii="David" w:hAnsi="David"/>
          <w:rtl w:val="true"/>
        </w:rPr>
        <w:t xml:space="preserve">, </w:t>
      </w:r>
      <w:r>
        <w:rPr>
          <w:rFonts w:ascii="David" w:hAnsi="David" w:cs="David"/>
          <w:rtl w:val="true"/>
        </w:rPr>
        <w:t>הניסיון להקיש במישרין מאותם מיזמים לענייננו אינו נקי מקשיים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נתונים אלה עמדו לפני השמאית המכריעה אשר קבעה את תקופת דחייה הראויה בנסיבות העניין</w:t>
      </w:r>
      <w:r>
        <w:rPr>
          <w:rFonts w:cs="David" w:ascii="David" w:hAnsi="David"/>
          <w:rtl w:val="true"/>
        </w:rPr>
        <w:t xml:space="preserve">. </w:t>
      </w:r>
      <w:r>
        <w:rPr>
          <w:rFonts w:ascii="David" w:hAnsi="David" w:cs="David"/>
          <w:rtl w:val="true"/>
        </w:rPr>
        <w:t>קביעה זו מצויה בליבת שיקול הדעת השמאי</w:t>
      </w:r>
      <w:r>
        <w:rPr>
          <w:rFonts w:cs="David" w:ascii="David" w:hAnsi="David"/>
          <w:rtl w:val="true"/>
        </w:rPr>
        <w:t xml:space="preserve">, </w:t>
      </w:r>
      <w:r>
        <w:rPr>
          <w:rFonts w:ascii="David" w:hAnsi="David" w:cs="David"/>
          <w:rtl w:val="true"/>
        </w:rPr>
        <w:t>ובנסיבות העניין לא מצאנו עילה להתערב בה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cs="David" w:ascii="David" w:hAnsi="David"/>
          <w:color w:val="FFFFFF"/>
          <w:sz w:val="2"/>
          <w:szCs w:val="2"/>
        </w:rPr>
        <w:t>051293710</w:t>
      </w:r>
      <w:r>
        <w:rPr>
          <w:rFonts w:ascii="David" w:hAnsi="David" w:cs="David"/>
          <w:rtl w:val="true"/>
        </w:rPr>
        <w:t>מסקנה זו אינה משתנה אף בהנחה כי יש ממש בטענות הוועדה המקומית בדבר טעויות עובדתיות מסוימות שנפלו במסד הנתונים</w:t>
      </w:r>
      <w:r>
        <w:rPr>
          <w:rFonts w:cs="David" w:ascii="David" w:hAnsi="David"/>
          <w:rtl w:val="true"/>
        </w:rPr>
        <w:t xml:space="preserve">. </w:t>
      </w:r>
      <w:r>
        <w:rPr>
          <w:rFonts w:ascii="David" w:hAnsi="David" w:cs="David"/>
          <w:rtl w:val="true"/>
        </w:rPr>
        <w:t>בהקשר זה הצביעה הוועדה המקומית על מועד הוצאת היתר הבנייה במתחם הלפרין</w:t>
      </w:r>
      <w:r>
        <w:rPr>
          <w:rFonts w:cs="David" w:ascii="David" w:hAnsi="David"/>
          <w:rtl w:val="true"/>
        </w:rPr>
        <w:t xml:space="preserve">, </w:t>
      </w:r>
      <w:r>
        <w:rPr>
          <w:rFonts w:ascii="David" w:hAnsi="David" w:cs="David"/>
          <w:rtl w:val="true"/>
        </w:rPr>
        <w:t>על התחשבות כפולה בפרויקט ההסתדרות ועל משך הזמן שיוחס לפרויקט קריית צאנז</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cs="David" w:ascii="David" w:hAnsi="David"/>
          <w:color w:val="FFFFFF"/>
          <w:sz w:val="2"/>
          <w:szCs w:val="2"/>
        </w:rPr>
        <w:t>054678313</w:t>
      </w:r>
      <w:r>
        <w:rPr>
          <w:rFonts w:ascii="David" w:hAnsi="David" w:cs="David"/>
          <w:rtl w:val="true"/>
        </w:rPr>
        <w:t>אף אם נקבל כי נפלו טעויות בעניינים אלה</w:t>
      </w:r>
      <w:r>
        <w:rPr>
          <w:rFonts w:cs="David" w:ascii="David" w:hAnsi="David"/>
          <w:rtl w:val="true"/>
        </w:rPr>
        <w:t xml:space="preserve">, </w:t>
      </w:r>
      <w:r>
        <w:rPr>
          <w:rFonts w:ascii="David" w:hAnsi="David" w:cs="David"/>
          <w:rtl w:val="true"/>
        </w:rPr>
        <w:t>השפעתן הנטענת על משך הדחייה מסתכמת בחודשים ספורים ואין בכך כדי להצדיק שינוי בתוצאה שאליה הגיעה השמאית המכריעה</w:t>
      </w:r>
      <w:r>
        <w:rPr>
          <w:rFonts w:cs="David" w:ascii="David" w:hAnsi="David"/>
          <w:rtl w:val="true"/>
        </w:rPr>
        <w:t xml:space="preserve">. </w:t>
      </w:r>
      <w:r>
        <w:rPr>
          <w:rFonts w:ascii="David" w:hAnsi="David" w:cs="David"/>
          <w:rtl w:val="true"/>
        </w:rPr>
        <w:t>מדובר במספר מצומצם של נתונים מתוך מכלול רחב של נתונים שנבחנו</w:t>
      </w:r>
      <w:r>
        <w:rPr>
          <w:rFonts w:cs="David" w:ascii="David" w:hAnsi="David"/>
          <w:rtl w:val="true"/>
        </w:rPr>
        <w:t xml:space="preserve">, </w:t>
      </w:r>
      <w:r>
        <w:rPr>
          <w:rFonts w:ascii="David" w:hAnsi="David" w:cs="David"/>
          <w:rtl w:val="true"/>
        </w:rPr>
        <w:t>ואין בטעויות הנטענות</w:t>
      </w:r>
      <w:r>
        <w:rPr>
          <w:rFonts w:cs="David" w:ascii="David" w:hAnsi="David"/>
          <w:rtl w:val="true"/>
        </w:rPr>
        <w:t xml:space="preserve">, </w:t>
      </w:r>
      <w:r>
        <w:rPr>
          <w:rFonts w:ascii="David" w:hAnsi="David" w:cs="David"/>
          <w:rtl w:val="true"/>
        </w:rPr>
        <w:t>כשלעצמן</w:t>
      </w:r>
      <w:r>
        <w:rPr>
          <w:rFonts w:cs="David" w:ascii="David" w:hAnsi="David"/>
          <w:rtl w:val="true"/>
        </w:rPr>
        <w:t xml:space="preserve">, </w:t>
      </w:r>
      <w:r>
        <w:rPr>
          <w:rFonts w:ascii="David" w:hAnsi="David" w:cs="David"/>
          <w:rtl w:val="true"/>
        </w:rPr>
        <w:t>כדי לערער את התשתית המקצועית הכוללת שעליה מבוססת הקביעה בדבר משך הדחייה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בדומה</w:t>
      </w:r>
      <w:r>
        <w:rPr>
          <w:rFonts w:cs="David" w:ascii="David" w:hAnsi="David"/>
          <w:rtl w:val="true"/>
        </w:rPr>
        <w:t xml:space="preserve">, </w:t>
      </w:r>
      <w:r>
        <w:rPr>
          <w:rFonts w:ascii="David" w:hAnsi="David" w:cs="David"/>
          <w:rtl w:val="true"/>
        </w:rPr>
        <w:t>אין לקבל את טענות דמרי באשר למשך הדחייה</w:t>
      </w:r>
      <w:r>
        <w:rPr>
          <w:rFonts w:cs="David" w:ascii="David" w:hAnsi="David"/>
          <w:rtl w:val="true"/>
        </w:rPr>
        <w:t xml:space="preserve">. </w:t>
      </w:r>
      <w:r>
        <w:rPr>
          <w:rFonts w:ascii="David" w:hAnsi="David" w:cs="David"/>
          <w:rtl w:val="true"/>
        </w:rPr>
        <w:t>מסד הנתונים שעליו מבקשת דמרי להסתמך מתייחס למיזמים המצויים בערים אחרות</w:t>
      </w:r>
      <w:r>
        <w:rPr>
          <w:rFonts w:cs="David" w:ascii="David" w:hAnsi="David"/>
          <w:rtl w:val="true"/>
        </w:rPr>
        <w:t xml:space="preserve">, </w:t>
      </w:r>
      <w:r>
        <w:rPr>
          <w:rFonts w:ascii="David" w:hAnsi="David" w:cs="David"/>
          <w:rtl w:val="true"/>
        </w:rPr>
        <w:t>ומשכך מידת התאמתו לענייננו מוגבלת</w:t>
      </w:r>
      <w:r>
        <w:rPr>
          <w:rFonts w:cs="David" w:ascii="David" w:hAnsi="David"/>
          <w:rtl w:val="true"/>
        </w:rPr>
        <w:t xml:space="preserve">. </w:t>
      </w:r>
      <w:r>
        <w:rPr>
          <w:rFonts w:ascii="David" w:hAnsi="David" w:cs="David"/>
          <w:rtl w:val="true"/>
        </w:rPr>
        <w:t>נתונים אלה הוצגו לשמאית המכריעה</w:t>
      </w:r>
      <w:r>
        <w:rPr>
          <w:rFonts w:cs="David" w:ascii="David" w:hAnsi="David"/>
          <w:rtl w:val="true"/>
        </w:rPr>
        <w:t xml:space="preserve">, </w:t>
      </w:r>
      <w:r>
        <w:rPr>
          <w:rFonts w:ascii="David" w:hAnsi="David" w:cs="David"/>
          <w:rtl w:val="true"/>
        </w:rPr>
        <w:t>והיא לא מצאה לאמצם</w:t>
      </w:r>
      <w:r>
        <w:rPr>
          <w:rFonts w:cs="David" w:ascii="David" w:hAnsi="David"/>
          <w:rtl w:val="true"/>
        </w:rPr>
        <w:t xml:space="preserve">. </w:t>
      </w:r>
      <w:r>
        <w:rPr>
          <w:rFonts w:ascii="David" w:hAnsi="David" w:cs="David"/>
          <w:rtl w:val="true"/>
        </w:rPr>
        <w:t>במבט כולל</w:t>
      </w:r>
      <w:r>
        <w:rPr>
          <w:rFonts w:cs="David" w:ascii="David" w:hAnsi="David"/>
          <w:rtl w:val="true"/>
        </w:rPr>
        <w:t xml:space="preserve">, </w:t>
      </w:r>
      <w:r>
        <w:rPr>
          <w:rFonts w:ascii="David" w:hAnsi="David" w:cs="David"/>
          <w:rtl w:val="true"/>
        </w:rPr>
        <w:t>קביעתה של השמאית המכריעה משקפת איזון מקצועי וסביר בין מכלול הנתונים שהונחו לפניה</w:t>
      </w:r>
      <w:r>
        <w:rPr>
          <w:rFonts w:cs="David" w:ascii="David" w:hAnsi="David"/>
          <w:rtl w:val="true"/>
        </w:rPr>
        <w:t xml:space="preserve">, </w:t>
      </w:r>
      <w:r>
        <w:rPr>
          <w:rFonts w:ascii="David" w:hAnsi="David" w:cs="David"/>
          <w:rtl w:val="true"/>
        </w:rPr>
        <w:t>תוך התאמתם למאפייניו הייחודיים של המיזם המקודם מכוחה של התוכנית</w:t>
      </w:r>
      <w:r>
        <w:rPr>
          <w:rFonts w:cs="David" w:ascii="David" w:hAnsi="David"/>
          <w:rtl w:val="true"/>
        </w:rPr>
        <w:t>.</w:t>
      </w:r>
    </w:p>
    <w:p>
      <w:pPr>
        <w:pStyle w:val="Heading2"/>
        <w:suppressLineNumbers/>
        <w:spacing w:before="240" w:after="240"/>
        <w:ind w:firstLine="510" w:end="0"/>
        <w:jc w:val="both"/>
        <w:rPr/>
      </w:pPr>
      <w:r>
        <w:rPr>
          <w:rtl w:val="true"/>
        </w:rPr>
        <w:t>פטור</w:t>
      </w:r>
      <w:r>
        <w:rPr>
          <w:rFonts w:eastAsia="Cambria" w:cs="Cambria"/>
          <w:rtl w:val="true"/>
        </w:rPr>
        <w:t xml:space="preserve"> </w:t>
      </w:r>
      <w:r>
        <w:rPr>
          <w:rtl w:val="true"/>
        </w:rPr>
        <w:t>מהיטל</w:t>
      </w:r>
      <w:r>
        <w:rPr>
          <w:rFonts w:eastAsia="Cambria" w:cs="Cambria"/>
          <w:rtl w:val="true"/>
        </w:rPr>
        <w:t xml:space="preserve"> </w:t>
      </w:r>
      <w:r>
        <w:rPr>
          <w:rtl w:val="true"/>
        </w:rPr>
        <w:t>השבחה</w:t>
      </w:r>
      <w:r>
        <w:rPr>
          <w:rFonts w:eastAsia="Cambria" w:cs="Cambria"/>
          <w:rtl w:val="true"/>
        </w:rPr>
        <w:t xml:space="preserve"> </w:t>
      </w:r>
      <w:r>
        <w:rPr>
          <w:rtl w:val="true"/>
        </w:rPr>
        <w:t>–</w:t>
      </w:r>
      <w:r>
        <w:rPr>
          <w:rFonts w:eastAsia="Cambria" w:cs="Cambria"/>
          <w:rtl w:val="true"/>
        </w:rPr>
        <w:t xml:space="preserve"> </w:t>
      </w:r>
      <w:r>
        <w:rPr>
          <w:rtl w:val="true"/>
        </w:rPr>
        <w:t>מרחבים</w:t>
      </w:r>
      <w:r>
        <w:rPr>
          <w:rFonts w:eastAsia="Cambria" w:cs="Cambria"/>
          <w:rtl w:val="true"/>
        </w:rPr>
        <w:t xml:space="preserve"> </w:t>
      </w:r>
      <w:r>
        <w:rPr>
          <w:rtl w:val="true"/>
        </w:rPr>
        <w:t>מוגנים</w:t>
      </w:r>
    </w:p>
    <w:p>
      <w:pPr>
        <w:pStyle w:val="Ruller43"/>
        <w:numPr>
          <w:ilvl w:val="0"/>
          <w:numId w:val="14"/>
        </w:numPr>
        <w:tabs>
          <w:tab w:val="clear" w:pos="800"/>
          <w:tab w:val="left" w:pos="1361" w:leader="none"/>
        </w:tabs>
        <w:spacing w:before="240" w:after="240"/>
        <w:ind w:hanging="510" w:start="510" w:end="0"/>
        <w:jc w:val="both"/>
        <w:rPr>
          <w:rFonts w:ascii="David" w:hAnsi="David" w:cs="David"/>
        </w:rPr>
      </w:pPr>
      <w:r>
        <w:rPr>
          <w:rFonts w:ascii="David" w:hAnsi="David" w:cs="David"/>
          <w:rtl w:val="true"/>
        </w:rPr>
        <w:t>סעיף הפטור כמשמעותו לעיל קובע פטור בגין השבחה במקרקעין הנובעת מבניית מרחב מוגן</w:t>
      </w:r>
      <w:r>
        <w:rPr>
          <w:rFonts w:cs="David" w:ascii="David" w:hAnsi="David"/>
          <w:rtl w:val="true"/>
        </w:rPr>
        <w:t xml:space="preserve">, </w:t>
      </w:r>
      <w:r>
        <w:rPr>
          <w:rFonts w:ascii="David" w:hAnsi="David" w:cs="David"/>
          <w:rtl w:val="true"/>
        </w:rPr>
        <w:t>וזאת בשטח מוגדר ועל פי התנאים הקבועים בסעיף הפטור</w:t>
      </w:r>
      <w:r>
        <w:rPr>
          <w:rFonts w:cs="David" w:ascii="David" w:hAnsi="David"/>
          <w:rtl w:val="true"/>
        </w:rPr>
        <w:t xml:space="preserve">, </w:t>
      </w:r>
      <w:r>
        <w:rPr>
          <w:rFonts w:ascii="David" w:hAnsi="David" w:cs="David"/>
          <w:rtl w:val="true"/>
        </w:rPr>
        <w:t>שנוסחו הוא כלהלן</w:t>
      </w:r>
      <w:r>
        <w:rPr>
          <w:rFonts w:cs="David" w:ascii="David" w:hAnsi="David"/>
          <w:rtl w:val="true"/>
        </w:rPr>
        <w:t>:</w:t>
      </w:r>
    </w:p>
    <w:tbl>
      <w:tblPr>
        <w:bidiVisual w:val="true"/>
        <w:tblW w:w="8313" w:type="dxa"/>
        <w:jc w:val="end"/>
        <w:tblInd w:w="0" w:type="dxa"/>
        <w:tblLayout w:type="fixed"/>
        <w:tblCellMar>
          <w:top w:w="0" w:type="dxa"/>
          <w:start w:w="108" w:type="dxa"/>
          <w:bottom w:w="0" w:type="dxa"/>
          <w:end w:w="108" w:type="dxa"/>
        </w:tblCellMar>
      </w:tblPr>
      <w:tblGrid>
        <w:gridCol w:w="2106"/>
        <w:gridCol w:w="922"/>
        <w:gridCol w:w="3474"/>
        <w:gridCol w:w="1811"/>
      </w:tblGrid>
      <w:tr>
        <w:trPr/>
        <w:tc>
          <w:tcPr>
            <w:tcW w:w="2106" w:type="dxa"/>
            <w:tcBorders/>
          </w:tcPr>
          <w:p>
            <w:pPr>
              <w:pStyle w:val="ListParagraph"/>
              <w:spacing w:lineRule="auto" w:line="276" w:before="120" w:after="120"/>
              <w:ind w:start="0" w:end="0"/>
              <w:contextualSpacing w:val="false"/>
              <w:jc w:val="end"/>
              <w:rPr>
                <w:rFonts w:ascii="David" w:hAnsi="David" w:cs="David"/>
                <w:sz w:val="28"/>
                <w:szCs w:val="28"/>
              </w:rPr>
            </w:pPr>
            <w:r>
              <w:rPr>
                <w:rFonts w:cs="David" w:ascii="David" w:hAnsi="David"/>
                <w:sz w:val="28"/>
                <w:szCs w:val="28"/>
                <w:rtl w:val="true"/>
              </w:rPr>
              <w:t>"</w:t>
            </w:r>
            <w:r>
              <w:rPr>
                <w:rFonts w:cs="David" w:ascii="David" w:hAnsi="David"/>
                <w:sz w:val="28"/>
                <w:szCs w:val="28"/>
              </w:rPr>
              <w:t>19</w:t>
            </w:r>
            <w:r>
              <w:rPr>
                <w:rFonts w:cs="David" w:ascii="David" w:hAnsi="David"/>
                <w:sz w:val="28"/>
                <w:szCs w:val="28"/>
                <w:rtl w:val="true"/>
              </w:rPr>
              <w:t>.(</w:t>
            </w:r>
            <w:r>
              <w:rPr>
                <w:rFonts w:ascii="David" w:hAnsi="David" w:cs="David"/>
                <w:sz w:val="28"/>
                <w:sz w:val="28"/>
                <w:szCs w:val="28"/>
                <w:rtl w:val="true"/>
              </w:rPr>
              <w:t>ב</w:t>
            </w:r>
            <w:r>
              <w:rPr>
                <w:rFonts w:cs="David" w:ascii="David" w:hAnsi="David"/>
                <w:sz w:val="28"/>
                <w:szCs w:val="28"/>
                <w:rtl w:val="true"/>
              </w:rPr>
              <w:t>).</w:t>
            </w:r>
          </w:p>
        </w:tc>
        <w:tc>
          <w:tcPr>
            <w:tcW w:w="4396" w:type="dxa"/>
            <w:gridSpan w:val="2"/>
            <w:tcBorders/>
          </w:tcPr>
          <w:p>
            <w:pPr>
              <w:pStyle w:val="ListParagraph"/>
              <w:spacing w:lineRule="auto" w:line="276" w:before="120" w:after="120"/>
              <w:ind w:start="0" w:end="0"/>
              <w:contextualSpacing w:val="false"/>
              <w:jc w:val="both"/>
              <w:rPr>
                <w:rFonts w:ascii="David" w:hAnsi="David" w:cs="David"/>
                <w:sz w:val="28"/>
                <w:szCs w:val="28"/>
              </w:rPr>
            </w:pPr>
            <w:r>
              <w:rPr>
                <w:rFonts w:ascii="David" w:hAnsi="David" w:cs="David"/>
                <w:sz w:val="28"/>
                <w:sz w:val="28"/>
                <w:szCs w:val="28"/>
                <w:rtl w:val="true"/>
              </w:rPr>
              <w:t>לא תחול חובת תשלום היטל בשל השבחה שהיא אחת מאלה</w:t>
            </w:r>
            <w:r>
              <w:rPr>
                <w:rFonts w:cs="David" w:ascii="David" w:hAnsi="David"/>
                <w:sz w:val="28"/>
                <w:szCs w:val="28"/>
                <w:rtl w:val="true"/>
              </w:rPr>
              <w:t>:</w:t>
            </w:r>
          </w:p>
        </w:tc>
        <w:tc>
          <w:tcPr>
            <w:tcW w:w="1811" w:type="dxa"/>
            <w:tcBorders/>
          </w:tcPr>
          <w:p>
            <w:pPr>
              <w:pStyle w:val="ListParagraph"/>
              <w:snapToGrid w:val="false"/>
              <w:spacing w:lineRule="auto" w:line="276" w:before="120" w:after="120"/>
              <w:ind w:start="0" w:end="0"/>
              <w:contextualSpacing w:val="false"/>
              <w:jc w:val="start"/>
              <w:rPr>
                <w:rFonts w:ascii="David" w:hAnsi="David" w:cs="David"/>
                <w:sz w:val="28"/>
                <w:szCs w:val="28"/>
              </w:rPr>
            </w:pPr>
            <w:r>
              <w:rPr>
                <w:rFonts w:cs="David" w:ascii="David" w:hAnsi="David"/>
                <w:sz w:val="28"/>
                <w:szCs w:val="28"/>
                <w:rtl w:val="true"/>
              </w:rPr>
            </w:r>
          </w:p>
        </w:tc>
      </w:tr>
      <w:tr>
        <w:trPr/>
        <w:tc>
          <w:tcPr>
            <w:tcW w:w="2106" w:type="dxa"/>
            <w:tcBorders/>
          </w:tcPr>
          <w:p>
            <w:pPr>
              <w:pStyle w:val="ListParagraph"/>
              <w:snapToGrid w:val="false"/>
              <w:spacing w:lineRule="auto" w:line="276" w:before="120" w:after="120"/>
              <w:ind w:start="0" w:end="0"/>
              <w:contextualSpacing w:val="false"/>
              <w:jc w:val="start"/>
              <w:rPr>
                <w:rFonts w:ascii="David" w:hAnsi="David" w:cs="David"/>
                <w:sz w:val="28"/>
                <w:szCs w:val="28"/>
              </w:rPr>
            </w:pPr>
            <w:r>
              <w:rPr>
                <w:rFonts w:cs="David" w:ascii="David" w:hAnsi="David"/>
                <w:sz w:val="28"/>
                <w:szCs w:val="28"/>
                <w:rtl w:val="true"/>
              </w:rPr>
            </w:r>
          </w:p>
        </w:tc>
        <w:tc>
          <w:tcPr>
            <w:tcW w:w="922" w:type="dxa"/>
            <w:tcBorders/>
          </w:tcPr>
          <w:p>
            <w:pPr>
              <w:pStyle w:val="ListParagraph"/>
              <w:spacing w:lineRule="auto" w:line="276" w:before="120" w:after="120"/>
              <w:ind w:start="0" w:end="0"/>
              <w:contextualSpacing w:val="false"/>
              <w:jc w:val="start"/>
              <w:rPr>
                <w:rFonts w:ascii="David" w:hAnsi="David" w:cs="David"/>
                <w:sz w:val="28"/>
                <w:szCs w:val="28"/>
              </w:rPr>
            </w:pPr>
            <w:r>
              <w:rPr>
                <w:rFonts w:cs="David" w:ascii="David" w:hAnsi="David"/>
                <w:sz w:val="28"/>
                <w:szCs w:val="28"/>
                <w:rtl w:val="true"/>
              </w:rPr>
              <w:t>(</w:t>
            </w:r>
            <w:r>
              <w:rPr>
                <w:rFonts w:cs="David" w:ascii="David" w:hAnsi="David"/>
                <w:sz w:val="28"/>
                <w:szCs w:val="28"/>
              </w:rPr>
              <w:t>9</w:t>
            </w:r>
            <w:r>
              <w:rPr>
                <w:rFonts w:cs="David" w:ascii="David" w:hAnsi="David"/>
                <w:sz w:val="28"/>
                <w:szCs w:val="28"/>
                <w:rtl w:val="true"/>
              </w:rPr>
              <w:t>).(</w:t>
            </w:r>
            <w:r>
              <w:rPr>
                <w:rFonts w:ascii="David" w:hAnsi="David" w:cs="David"/>
                <w:sz w:val="28"/>
                <w:sz w:val="28"/>
                <w:szCs w:val="28"/>
                <w:rtl w:val="true"/>
              </w:rPr>
              <w:t>א</w:t>
            </w:r>
            <w:r>
              <w:rPr>
                <w:rFonts w:cs="David" w:ascii="David" w:hAnsi="David"/>
                <w:sz w:val="28"/>
                <w:szCs w:val="28"/>
                <w:rtl w:val="true"/>
              </w:rPr>
              <w:t>).</w:t>
            </w:r>
          </w:p>
        </w:tc>
        <w:tc>
          <w:tcPr>
            <w:tcW w:w="3474" w:type="dxa"/>
            <w:tcBorders/>
          </w:tcPr>
          <w:p>
            <w:pPr>
              <w:pStyle w:val="ListParagraph"/>
              <w:spacing w:lineRule="auto" w:line="276" w:before="120" w:after="120"/>
              <w:ind w:start="0" w:end="0"/>
              <w:contextualSpacing w:val="false"/>
              <w:jc w:val="both"/>
              <w:rPr/>
            </w:pPr>
            <w:r>
              <w:rPr>
                <w:rFonts w:ascii="David" w:hAnsi="David" w:cs="David"/>
                <w:sz w:val="28"/>
                <w:sz w:val="28"/>
                <w:szCs w:val="28"/>
                <w:rtl w:val="true"/>
              </w:rPr>
              <w:t xml:space="preserve">השבחה במקרקעין בשל בניית מרחב מוגן בשטח שלא יעלה על השטח שנקבע לפי </w:t>
            </w:r>
            <w:hyperlink r:id="rId15">
              <w:r>
                <w:rPr>
                  <w:rStyle w:val="Hyperlink"/>
                  <w:rFonts w:ascii="David" w:hAnsi="David" w:cs="David"/>
                  <w:color w:val="0000FF"/>
                  <w:sz w:val="28"/>
                  <w:sz w:val="28"/>
                  <w:szCs w:val="28"/>
                  <w:u w:val="single"/>
                  <w:rtl w:val="true"/>
                </w:rPr>
                <w:t>חוק ההתגוננות האזרחית</w:t>
              </w:r>
            </w:hyperlink>
            <w:r>
              <w:rPr>
                <w:rFonts w:cs="David" w:ascii="David" w:hAnsi="David"/>
                <w:sz w:val="28"/>
                <w:szCs w:val="28"/>
                <w:rtl w:val="true"/>
              </w:rPr>
              <w:t xml:space="preserve">, </w:t>
            </w:r>
            <w:r>
              <w:rPr>
                <w:rFonts w:ascii="David" w:hAnsi="David" w:cs="David"/>
                <w:sz w:val="28"/>
                <w:sz w:val="28"/>
                <w:szCs w:val="28"/>
                <w:rtl w:val="true"/>
              </w:rPr>
              <w:t>התשי</w:t>
            </w:r>
            <w:r>
              <w:rPr>
                <w:rFonts w:cs="David" w:ascii="David" w:hAnsi="David"/>
                <w:sz w:val="28"/>
                <w:szCs w:val="28"/>
                <w:rtl w:val="true"/>
              </w:rPr>
              <w:t>"</w:t>
            </w:r>
            <w:r>
              <w:rPr>
                <w:rFonts w:ascii="David" w:hAnsi="David" w:cs="David"/>
                <w:sz w:val="28"/>
                <w:sz w:val="28"/>
                <w:szCs w:val="28"/>
                <w:rtl w:val="true"/>
              </w:rPr>
              <w:t>א</w:t>
            </w:r>
            <w:r>
              <w:rPr>
                <w:rFonts w:cs="David" w:ascii="David" w:hAnsi="David"/>
                <w:sz w:val="28"/>
                <w:szCs w:val="28"/>
                <w:rtl w:val="true"/>
              </w:rPr>
              <w:t>-</w:t>
            </w:r>
            <w:r>
              <w:rPr>
                <w:rFonts w:cs="David" w:ascii="David" w:hAnsi="David"/>
                <w:sz w:val="28"/>
                <w:szCs w:val="28"/>
              </w:rPr>
              <w:t>1951</w:t>
            </w:r>
            <w:r>
              <w:rPr>
                <w:rFonts w:cs="David" w:ascii="David" w:hAnsi="David"/>
                <w:sz w:val="28"/>
                <w:szCs w:val="28"/>
                <w:rtl w:val="true"/>
              </w:rPr>
              <w:t xml:space="preserve"> </w:t>
            </w:r>
            <w:r>
              <w:rPr>
                <w:rFonts w:ascii="David" w:hAnsi="David" w:cs="David"/>
                <w:sz w:val="28"/>
                <w:sz w:val="28"/>
                <w:szCs w:val="28"/>
                <w:rtl w:val="true"/>
              </w:rPr>
              <w:t>או השבחה במקרקעין בשל בניית חדר עם שיפורי מיגון בשטח כאמור</w:t>
            </w:r>
            <w:r>
              <w:rPr>
                <w:rFonts w:cs="David" w:ascii="David" w:hAnsi="David"/>
                <w:sz w:val="28"/>
                <w:szCs w:val="28"/>
                <w:rtl w:val="true"/>
              </w:rPr>
              <w:t xml:space="preserve">, </w:t>
            </w:r>
            <w:r>
              <w:rPr>
                <w:rFonts w:ascii="David" w:hAnsi="David" w:cs="David"/>
                <w:sz w:val="28"/>
                <w:sz w:val="28"/>
                <w:szCs w:val="28"/>
                <w:rtl w:val="true"/>
              </w:rPr>
              <w:t>בהתאם להוראות הרשות המוסמכת כמשמעותה בחוק האמור</w:t>
            </w:r>
            <w:r>
              <w:rPr>
                <w:rFonts w:cs="David" w:ascii="David" w:hAnsi="David"/>
                <w:sz w:val="28"/>
                <w:szCs w:val="28"/>
                <w:rtl w:val="true"/>
              </w:rPr>
              <w:t xml:space="preserve">, </w:t>
            </w:r>
            <w:r>
              <w:rPr>
                <w:rFonts w:ascii="David" w:hAnsi="David" w:cs="David"/>
                <w:sz w:val="28"/>
                <w:sz w:val="28"/>
                <w:szCs w:val="28"/>
                <w:rtl w:val="true"/>
              </w:rPr>
              <w:t>אם לא ניתן לבנות מרחב מוגן באותו מבנה</w:t>
            </w:r>
            <w:r>
              <w:rPr>
                <w:rFonts w:cs="David" w:ascii="David" w:hAnsi="David"/>
                <w:sz w:val="28"/>
                <w:szCs w:val="28"/>
                <w:rtl w:val="true"/>
              </w:rPr>
              <w:t>;</w:t>
            </w:r>
          </w:p>
        </w:tc>
        <w:tc>
          <w:tcPr>
            <w:tcW w:w="1811" w:type="dxa"/>
            <w:tcBorders/>
          </w:tcPr>
          <w:p>
            <w:pPr>
              <w:pStyle w:val="ListParagraph"/>
              <w:snapToGrid w:val="false"/>
              <w:spacing w:lineRule="auto" w:line="276" w:before="120" w:after="120"/>
              <w:ind w:start="0" w:end="0"/>
              <w:contextualSpacing w:val="false"/>
              <w:jc w:val="start"/>
              <w:rPr>
                <w:rFonts w:ascii="David" w:hAnsi="David" w:cs="David"/>
                <w:sz w:val="28"/>
                <w:szCs w:val="28"/>
              </w:rPr>
            </w:pPr>
            <w:r>
              <w:rPr>
                <w:rFonts w:cs="David" w:ascii="David" w:hAnsi="David"/>
                <w:sz w:val="28"/>
                <w:szCs w:val="28"/>
                <w:rtl w:val="true"/>
              </w:rPr>
            </w:r>
          </w:p>
        </w:tc>
      </w:tr>
    </w:tbl>
    <w:p>
      <w:pPr>
        <w:pStyle w:val="Ruller43"/>
        <w:numPr>
          <w:ilvl w:val="0"/>
          <w:numId w:val="14"/>
        </w:numPr>
        <w:tabs>
          <w:tab w:val="clear" w:pos="800"/>
        </w:tabs>
        <w:spacing w:before="240" w:after="240"/>
        <w:ind w:hanging="510" w:start="510" w:end="0"/>
        <w:jc w:val="both"/>
        <w:rPr>
          <w:rFonts w:ascii="David" w:hAnsi="David" w:cs="David"/>
        </w:rPr>
      </w:pPr>
      <w:r>
        <w:rPr>
          <w:rFonts w:ascii="David" w:hAnsi="David" w:cs="David"/>
          <w:sz w:val="28"/>
          <w:sz w:val="28"/>
          <w:rtl w:val="true"/>
        </w:rPr>
        <w:t>עמדתם העקבית של ועדות הערר ובתי המשפט היא כי תחולתו של סעיף הפטור מותנית בבניית ממ</w:t>
      </w:r>
      <w:r>
        <w:rPr>
          <w:rFonts w:cs="David" w:ascii="David" w:hAnsi="David"/>
          <w:sz w:val="28"/>
          <w:rtl w:val="true"/>
        </w:rPr>
        <w:t>"</w:t>
      </w:r>
      <w:r>
        <w:rPr>
          <w:rFonts w:ascii="David" w:hAnsi="David" w:cs="David"/>
          <w:sz w:val="28"/>
          <w:sz w:val="28"/>
          <w:rtl w:val="true"/>
        </w:rPr>
        <w:t>ד בפועל</w:t>
      </w:r>
      <w:r>
        <w:rPr>
          <w:rFonts w:cs="David" w:ascii="David" w:hAnsi="David"/>
          <w:sz w:val="28"/>
          <w:rtl w:val="true"/>
        </w:rPr>
        <w:t xml:space="preserve">. </w:t>
      </w:r>
      <w:r>
        <w:rPr>
          <w:rFonts w:ascii="David" w:hAnsi="David" w:cs="David"/>
          <w:sz w:val="28"/>
          <w:sz w:val="28"/>
          <w:rtl w:val="true"/>
        </w:rPr>
        <w:t>תנאי זה עורר ועודנו מעורר התדיינות נרחבת</w:t>
      </w:r>
      <w:r>
        <w:rPr>
          <w:rFonts w:cs="David" w:ascii="David" w:hAnsi="David"/>
          <w:sz w:val="28"/>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בהחלטות שונות שניתנו בעת האחרונה על ידי ועדת ערר זו נקבע כי ההשבחה שבה עוסק סעיף הפטור היא השבחה שמקורה בזכויות התכנוניות להקמת המרחבים המוגנים והקמתם בפועל היא פעולה אשר ניצבת בליבת תכליתו של הפטור</w:t>
      </w:r>
      <w:r>
        <w:rPr>
          <w:rFonts w:cs="David" w:ascii="David" w:hAnsi="David"/>
          <w:rtl w:val="true"/>
        </w:rPr>
        <w:t xml:space="preserve">, </w:t>
      </w:r>
      <w:r>
        <w:rPr>
          <w:rFonts w:ascii="David" w:hAnsi="David" w:cs="David"/>
          <w:rtl w:val="true"/>
        </w:rPr>
        <w:t>ומשכך היא תנאי לתחולתו</w:t>
      </w:r>
      <w:r>
        <w:rPr>
          <w:rFonts w:cs="David" w:ascii="David" w:hAnsi="David"/>
          <w:rtl w:val="true"/>
        </w:rPr>
        <w:t>.</w:t>
      </w:r>
    </w:p>
    <w:p>
      <w:pPr>
        <w:pStyle w:val="Ruller43"/>
        <w:spacing w:before="240" w:after="240"/>
        <w:ind w:start="510" w:end="0"/>
        <w:jc w:val="both"/>
        <w:rPr>
          <w:rFonts w:ascii="David" w:hAnsi="David" w:cs="David"/>
        </w:rPr>
      </w:pPr>
      <w:r>
        <w:rPr>
          <w:rFonts w:cs="David" w:ascii="David" w:hAnsi="David"/>
          <w:rtl w:val="true"/>
        </w:rPr>
        <w:t>(</w:t>
      </w:r>
      <w:hyperlink r:id="rId16">
        <w:r>
          <w:rPr>
            <w:rStyle w:val="Hyperlink"/>
            <w:rFonts w:ascii="David" w:hAnsi="David" w:cs="David"/>
            <w:color w:val="0000FF"/>
            <w:u w:val="single"/>
            <w:rtl w:val="true"/>
          </w:rPr>
          <w:t xml:space="preserve">ערר </w:t>
        </w:r>
        <w:r>
          <w:rPr>
            <w:rStyle w:val="Hyperlink"/>
            <w:rFonts w:cs="David" w:ascii="David" w:hAnsi="David"/>
            <w:color w:val="0000FF"/>
            <w:u w:val="single"/>
            <w:rtl w:val="true"/>
          </w:rPr>
          <w:t>(</w:t>
        </w:r>
        <w:r>
          <w:rPr>
            <w:rStyle w:val="Hyperlink"/>
            <w:rFonts w:ascii="David" w:hAnsi="David" w:cs="David"/>
            <w:color w:val="0000FF"/>
            <w:u w:val="single"/>
            <w:rtl w:val="true"/>
          </w:rPr>
          <w:t>מרכז</w:t>
        </w:r>
        <w:r>
          <w:rPr>
            <w:rStyle w:val="Hyperlink"/>
            <w:rFonts w:cs="David" w:ascii="David" w:hAnsi="David"/>
            <w:color w:val="0000FF"/>
            <w:u w:val="single"/>
            <w:rtl w:val="true"/>
          </w:rPr>
          <w:t xml:space="preserve">) </w:t>
        </w:r>
        <w:r>
          <w:rPr>
            <w:rStyle w:val="Hyperlink"/>
            <w:rFonts w:cs="David" w:ascii="David" w:hAnsi="David"/>
            <w:color w:val="0000FF"/>
            <w:u w:val="single"/>
          </w:rPr>
          <w:t>8011-02-26</w:t>
        </w:r>
        <w:r>
          <w:rPr>
            <w:rStyle w:val="Hyperlink"/>
            <w:rFonts w:cs="David" w:ascii="David" w:hAnsi="David"/>
            <w:color w:val="0000FF"/>
            <w:u w:val="single"/>
            <w:rtl w:val="true"/>
          </w:rPr>
          <w:t xml:space="preserve"> </w:t>
        </w:r>
        <w:r>
          <w:rPr>
            <w:rStyle w:val="Hyperlink"/>
            <w:rFonts w:ascii="David" w:hAnsi="David" w:cs="David"/>
            <w:color w:val="0000FF"/>
            <w:u w:val="single"/>
            <w:rtl w:val="true"/>
          </w:rPr>
          <w:t>הו</w:t>
        </w:r>
      </w:hyperlink>
      <w:r>
        <w:rPr>
          <w:rFonts w:ascii="Miriam" w:hAnsi="Miriam" w:cs="Miriam"/>
          <w:rtl w:val="true"/>
        </w:rPr>
        <w:t>ועדה המקומית לתכנון ולבנייה רעננה נ</w:t>
      </w:r>
      <w:r>
        <w:rPr>
          <w:rFonts w:cs="Miriam" w:ascii="Miriam" w:hAnsi="Miriam"/>
          <w:rtl w:val="true"/>
        </w:rPr>
        <w:t xml:space="preserve">' </w:t>
      </w:r>
      <w:r>
        <w:rPr>
          <w:rFonts w:ascii="Miriam" w:hAnsi="Miriam" w:cs="Miriam"/>
          <w:rtl w:val="true"/>
        </w:rPr>
        <w:t>אדל אוה פאולה אני</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17.6.2026</w:t>
      </w:r>
      <w:r>
        <w:rPr>
          <w:rFonts w:cs="David" w:ascii="David" w:hAnsi="David"/>
          <w:rtl w:val="true"/>
        </w:rPr>
        <w:t xml:space="preserve">); </w:t>
      </w:r>
      <w:r>
        <w:rPr>
          <w:rFonts w:ascii="David" w:hAnsi="David" w:cs="David"/>
          <w:rtl w:val="true"/>
        </w:rPr>
        <w:t xml:space="preserve">ערר </w:t>
      </w:r>
      <w:r>
        <w:rPr>
          <w:rFonts w:cs="David" w:ascii="David" w:hAnsi="David"/>
          <w:rtl w:val="true"/>
        </w:rPr>
        <w:t>(</w:t>
      </w:r>
      <w:r>
        <w:rPr>
          <w:rFonts w:ascii="David" w:hAnsi="David" w:cs="David"/>
          <w:rtl w:val="true"/>
        </w:rPr>
        <w:t>ועדות ערר – תכנון ובנייה מרכז</w:t>
      </w:r>
      <w:r>
        <w:rPr>
          <w:rFonts w:cs="David" w:ascii="David" w:hAnsi="David"/>
          <w:rtl w:val="true"/>
        </w:rPr>
        <w:t xml:space="preserve">) </w:t>
      </w:r>
      <w:r>
        <w:rPr>
          <w:rFonts w:cs="David" w:ascii="David" w:hAnsi="David"/>
        </w:rPr>
        <w:t>8049-08-25</w:t>
      </w:r>
      <w:r>
        <w:rPr>
          <w:rFonts w:cs="David" w:ascii="David" w:hAnsi="David"/>
          <w:rtl w:val="true"/>
        </w:rPr>
        <w:t xml:space="preserve"> </w:t>
      </w:r>
      <w:r>
        <w:rPr>
          <w:rFonts w:ascii="Miriam" w:hAnsi="Miriam" w:cs="Miriam"/>
          <w:rtl w:val="true"/>
        </w:rPr>
        <w:t>פרטיאלי אבנר נ</w:t>
      </w:r>
      <w:r>
        <w:rPr>
          <w:rFonts w:cs="Miriam" w:ascii="Miriam" w:hAnsi="Miriam"/>
          <w:rtl w:val="true"/>
        </w:rPr>
        <w:t xml:space="preserve">' </w:t>
      </w:r>
      <w:r>
        <w:rPr>
          <w:rFonts w:ascii="Miriam" w:hAnsi="Miriam" w:cs="Miriam"/>
          <w:rtl w:val="true"/>
        </w:rPr>
        <w:t>הוועדה המקומית לתכנון ובנייה פתח תקווה</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17.6.2026</w:t>
      </w:r>
      <w:r>
        <w:rPr>
          <w:rFonts w:cs="David" w:ascii="David" w:hAnsi="David"/>
          <w:rtl w:val="true"/>
        </w:rPr>
        <w:t>) (</w:t>
      </w:r>
      <w:r>
        <w:rPr>
          <w:rFonts w:ascii="David" w:hAnsi="David" w:cs="David"/>
          <w:rtl w:val="true"/>
        </w:rPr>
        <w:t>להלן</w:t>
      </w:r>
      <w:r>
        <w:rPr>
          <w:rFonts w:cs="David" w:ascii="David" w:hAnsi="David"/>
          <w:rtl w:val="true"/>
        </w:rPr>
        <w:t>:</w:t>
      </w:r>
      <w:r>
        <w:rPr>
          <w:rFonts w:cs="Miriam" w:ascii="Miriam" w:hAnsi="Miriam"/>
          <w:rtl w:val="true"/>
        </w:rPr>
        <w:t xml:space="preserve"> </w:t>
      </w:r>
      <w:r>
        <w:rPr>
          <w:rFonts w:ascii="Miriam" w:hAnsi="Miriam" w:cs="Miriam"/>
          <w:rtl w:val="true"/>
        </w:rPr>
        <w:t>עניין</w:t>
      </w:r>
      <w:r>
        <w:rPr>
          <w:rFonts w:ascii="David" w:hAnsi="David" w:cs="David"/>
          <w:rtl w:val="true"/>
        </w:rPr>
        <w:t xml:space="preserve"> </w:t>
      </w:r>
      <w:r>
        <w:rPr>
          <w:rFonts w:ascii="Miriam" w:hAnsi="Miriam" w:cs="Miriam"/>
          <w:rtl w:val="true"/>
        </w:rPr>
        <w:t>פרטיאלי</w:t>
      </w:r>
      <w:r>
        <w:rPr>
          <w:rFonts w:cs="David" w:ascii="David" w:hAnsi="David"/>
          <w:rtl w:val="true"/>
        </w:rPr>
        <w:t xml:space="preserve">); </w:t>
      </w:r>
      <w:hyperlink r:id="rId17">
        <w:r>
          <w:rPr>
            <w:rStyle w:val="Hyperlink"/>
            <w:rFonts w:ascii="David" w:hAnsi="David" w:cs="David"/>
            <w:color w:val="0000FF"/>
            <w:u w:val="single"/>
            <w:rtl w:val="true"/>
          </w:rPr>
          <w:t xml:space="preserve">ערר </w:t>
        </w:r>
        <w:r>
          <w:rPr>
            <w:rStyle w:val="Hyperlink"/>
            <w:rFonts w:cs="David" w:ascii="David" w:hAnsi="David"/>
            <w:color w:val="0000FF"/>
            <w:u w:val="single"/>
            <w:rtl w:val="true"/>
          </w:rPr>
          <w:t>(</w:t>
        </w:r>
        <w:r>
          <w:rPr>
            <w:rStyle w:val="Hyperlink"/>
            <w:rFonts w:ascii="David" w:hAnsi="David" w:cs="David"/>
            <w:color w:val="0000FF"/>
            <w:u w:val="single"/>
            <w:rtl w:val="true"/>
          </w:rPr>
          <w:t>מרכז</w:t>
        </w:r>
        <w:r>
          <w:rPr>
            <w:rStyle w:val="Hyperlink"/>
            <w:rFonts w:cs="David" w:ascii="David" w:hAnsi="David"/>
            <w:color w:val="0000FF"/>
            <w:u w:val="single"/>
            <w:rtl w:val="true"/>
          </w:rPr>
          <w:t xml:space="preserve">) </w:t>
        </w:r>
        <w:r>
          <w:rPr>
            <w:rStyle w:val="Hyperlink"/>
            <w:rFonts w:cs="David" w:ascii="David" w:hAnsi="David"/>
            <w:color w:val="0000FF"/>
            <w:u w:val="single"/>
          </w:rPr>
          <w:t>8045-05-25</w:t>
        </w:r>
        <w:r>
          <w:rPr>
            <w:rStyle w:val="Hyperlink"/>
            <w:rFonts w:cs="David" w:ascii="David" w:hAnsi="David"/>
            <w:color w:val="0000FF"/>
            <w:u w:val="single"/>
            <w:rtl w:val="true"/>
          </w:rPr>
          <w:t xml:space="preserve"> </w:t>
        </w:r>
        <w:r>
          <w:rPr>
            <w:rStyle w:val="Hyperlink"/>
            <w:rFonts w:ascii="David" w:hAnsi="David" w:cs="David"/>
            <w:color w:val="0000FF"/>
            <w:u w:val="single"/>
            <w:rtl w:val="true"/>
          </w:rPr>
          <w:t>פר</w:t>
        </w:r>
      </w:hyperlink>
      <w:r>
        <w:rPr>
          <w:rFonts w:ascii="Miriam" w:hAnsi="Miriam" w:cs="Miriam"/>
          <w:rtl w:val="true"/>
        </w:rPr>
        <w:t>יצל עומר ואח</w:t>
      </w:r>
      <w:r>
        <w:rPr>
          <w:rFonts w:cs="Miriam" w:ascii="Miriam" w:hAnsi="Miriam"/>
          <w:rtl w:val="true"/>
        </w:rPr>
        <w:t xml:space="preserve">' </w:t>
      </w:r>
      <w:r>
        <w:rPr>
          <w:rFonts w:ascii="Miriam" w:hAnsi="Miriam" w:cs="Miriam"/>
          <w:rtl w:val="true"/>
        </w:rPr>
        <w:t>נ</w:t>
      </w:r>
      <w:r>
        <w:rPr>
          <w:rFonts w:cs="Miriam" w:ascii="Miriam" w:hAnsi="Miriam"/>
          <w:rtl w:val="true"/>
        </w:rPr>
        <w:t xml:space="preserve">' </w:t>
      </w:r>
      <w:r>
        <w:rPr>
          <w:rFonts w:ascii="Miriam" w:hAnsi="Miriam" w:cs="Miriam"/>
          <w:rtl w:val="true"/>
        </w:rPr>
        <w:t>הוועדה המקומית לתכנון ובניה רחובות</w:t>
      </w:r>
      <w:r>
        <w:rPr>
          <w:rFonts w:ascii="David" w:hAnsi="David" w:cs="David"/>
          <w:rtl w:val="true"/>
        </w:rPr>
        <w:t xml:space="preserve"> </w:t>
      </w:r>
      <w:r>
        <w:rPr>
          <w:rFonts w:cs="David" w:ascii="David" w:hAnsi="David"/>
          <w:rtl w:val="true"/>
        </w:rPr>
        <w:t>(</w:t>
      </w:r>
      <w:r>
        <w:rPr>
          <w:rFonts w:ascii="David" w:hAnsi="David" w:cs="David"/>
          <w:rtl w:val="true"/>
        </w:rPr>
        <w:t>נבו</w:t>
      </w:r>
      <w:r>
        <w:rPr>
          <w:rFonts w:cs="David" w:ascii="David" w:hAnsi="David"/>
          <w:rtl w:val="true"/>
        </w:rPr>
        <w:t xml:space="preserve">, </w:t>
      </w:r>
      <w:r>
        <w:rPr>
          <w:rFonts w:cs="David" w:ascii="David" w:hAnsi="David"/>
        </w:rPr>
        <w:t>2.7.2026</w:t>
      </w:r>
      <w:r>
        <w:rPr>
          <w:rFonts w:cs="David" w:ascii="David" w:hAnsi="David"/>
          <w:rtl w:val="true"/>
        </w:rPr>
        <w:t>)).</w:t>
      </w:r>
    </w:p>
    <w:p>
      <w:pPr>
        <w:pStyle w:val="Ruller43"/>
        <w:spacing w:before="240" w:after="240"/>
        <w:ind w:start="510" w:end="0"/>
        <w:jc w:val="both"/>
        <w:rPr>
          <w:rFonts w:ascii="David" w:hAnsi="David" w:cs="David"/>
        </w:rPr>
      </w:pPr>
      <w:r>
        <w:rPr>
          <w:rFonts w:cs="David" w:ascii="David" w:hAnsi="David"/>
          <w:rtl w:val="true"/>
        </w:rPr>
        <w:t>[</w:t>
      </w:r>
      <w:r>
        <w:rPr>
          <w:rFonts w:ascii="David" w:hAnsi="David" w:cs="David"/>
          <w:rtl w:val="true"/>
        </w:rPr>
        <w:t>החלטות אלה עסקו בשאלת תחולתו של הפטור בנסיבות שבהן מומשו הזכויות להקמת מרחבים מוגנים בדרך של עסקת קומבינציה מסוג מכר חלקי</w:t>
      </w:r>
      <w:r>
        <w:rPr>
          <w:rFonts w:cs="David" w:ascii="David" w:hAnsi="David"/>
          <w:rtl w:val="true"/>
        </w:rPr>
        <w:t xml:space="preserve">. </w:t>
      </w:r>
      <w:r>
        <w:rPr>
          <w:rFonts w:ascii="David" w:hAnsi="David" w:cs="David"/>
          <w:rtl w:val="true"/>
        </w:rPr>
        <w:t>לאחרונה ניתן פסק הדין ב</w:t>
      </w:r>
      <w:hyperlink r:id="rId18">
        <w:r>
          <w:rPr>
            <w:rStyle w:val="Hyperlink"/>
            <w:rFonts w:ascii="David" w:hAnsi="David" w:cs="David"/>
            <w:color w:val="0000FF"/>
            <w:u w:val="single"/>
            <w:rtl w:val="true"/>
          </w:rPr>
          <w:t>עמ</w:t>
        </w:r>
        <w:r>
          <w:rPr>
            <w:rStyle w:val="Hyperlink"/>
            <w:rFonts w:cs="David" w:ascii="David" w:hAnsi="David"/>
            <w:color w:val="0000FF"/>
            <w:u w:val="single"/>
            <w:rtl w:val="true"/>
          </w:rPr>
          <w:t>"</w:t>
        </w:r>
        <w:r>
          <w:rPr>
            <w:rStyle w:val="Hyperlink"/>
            <w:rFonts w:ascii="David" w:hAnsi="David" w:cs="David"/>
            <w:color w:val="0000FF"/>
            <w:u w:val="single"/>
            <w:rtl w:val="true"/>
          </w:rPr>
          <w:t xml:space="preserve">נ </w:t>
        </w:r>
        <w:r>
          <w:rPr>
            <w:rStyle w:val="Hyperlink"/>
            <w:rFonts w:cs="David" w:ascii="David" w:hAnsi="David"/>
            <w:color w:val="0000FF"/>
            <w:u w:val="single"/>
            <w:rtl w:val="true"/>
          </w:rPr>
          <w:t>(</w:t>
        </w:r>
        <w:r>
          <w:rPr>
            <w:rStyle w:val="Hyperlink"/>
            <w:rFonts w:ascii="David" w:hAnsi="David" w:cs="David"/>
            <w:color w:val="0000FF"/>
            <w:u w:val="single"/>
            <w:rtl w:val="true"/>
          </w:rPr>
          <w:t>מינהליים מרכז</w:t>
        </w:r>
        <w:r>
          <w:rPr>
            <w:rStyle w:val="Hyperlink"/>
            <w:rFonts w:cs="David" w:ascii="David" w:hAnsi="David"/>
            <w:color w:val="0000FF"/>
            <w:u w:val="single"/>
            <w:rtl w:val="true"/>
          </w:rPr>
          <w:t xml:space="preserve">) </w:t>
        </w:r>
        <w:r>
          <w:rPr>
            <w:rStyle w:val="Hyperlink"/>
            <w:rFonts w:cs="David" w:ascii="David" w:hAnsi="David"/>
            <w:color w:val="0000FF"/>
            <w:u w:val="single"/>
          </w:rPr>
          <w:t>864-02-26</w:t>
        </w:r>
      </w:hyperlink>
      <w:r>
        <w:rPr>
          <w:rFonts w:cs="David" w:ascii="David" w:hAnsi="David"/>
          <w:rtl w:val="true"/>
        </w:rPr>
        <w:t xml:space="preserve"> </w:t>
      </w:r>
      <w:r>
        <w:rPr>
          <w:rFonts w:ascii="Miriam" w:hAnsi="Miriam" w:cs="Miriam"/>
          <w:rtl w:val="true"/>
        </w:rPr>
        <w:t>ועדה מקומית לתכנון ראשון לציון נ</w:t>
      </w:r>
      <w:r>
        <w:rPr>
          <w:rFonts w:cs="Miriam" w:ascii="Miriam" w:hAnsi="Miriam"/>
          <w:rtl w:val="true"/>
        </w:rPr>
        <w:t xml:space="preserve">' </w:t>
      </w:r>
      <w:r>
        <w:rPr>
          <w:rFonts w:ascii="Miriam" w:hAnsi="Miriam" w:cs="Miriam"/>
          <w:rtl w:val="true"/>
        </w:rPr>
        <w:t>ישעיהו זילונקה</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29.9.2026</w:t>
      </w:r>
      <w:r>
        <w:rPr>
          <w:rFonts w:cs="David" w:ascii="David" w:hAnsi="David"/>
          <w:rtl w:val="true"/>
        </w:rPr>
        <w:t xml:space="preserve">). </w:t>
      </w:r>
      <w:r>
        <w:rPr>
          <w:rFonts w:ascii="David" w:hAnsi="David" w:cs="David"/>
          <w:rtl w:val="true"/>
        </w:rPr>
        <w:t>באותו עניין התקבל ערעור על החלטתה של ועדת ערר זו</w:t>
      </w:r>
      <w:r>
        <w:rPr>
          <w:rFonts w:cs="David" w:ascii="David" w:hAnsi="David"/>
          <w:rtl w:val="true"/>
        </w:rPr>
        <w:t xml:space="preserve">, </w:t>
      </w:r>
      <w:r>
        <w:rPr>
          <w:rFonts w:ascii="David" w:hAnsi="David" w:cs="David"/>
          <w:rtl w:val="true"/>
        </w:rPr>
        <w:t xml:space="preserve">שעסקה בתחולתו של הפטור בנסיבות של עסקת קומבינציה מסוג מכר חלקי </w:t>
      </w:r>
      <w:r>
        <w:rPr>
          <w:rFonts w:cs="David" w:ascii="David" w:hAnsi="David"/>
          <w:rtl w:val="true"/>
        </w:rPr>
        <w:t>(</w:t>
      </w:r>
      <w:r>
        <w:rPr>
          <w:rFonts w:ascii="David" w:hAnsi="David" w:cs="David"/>
          <w:rtl w:val="true"/>
        </w:rPr>
        <w:t>להלן</w:t>
      </w:r>
      <w:r>
        <w:rPr>
          <w:rFonts w:cs="David" w:ascii="David" w:hAnsi="David"/>
          <w:rtl w:val="true"/>
        </w:rPr>
        <w:t xml:space="preserve">: </w:t>
      </w:r>
      <w:r>
        <w:rPr>
          <w:rFonts w:ascii="Miriam" w:hAnsi="Miriam" w:cs="Miriam"/>
          <w:rtl w:val="true"/>
        </w:rPr>
        <w:t>עניין</w:t>
      </w:r>
      <w:r>
        <w:rPr>
          <w:rFonts w:ascii="David" w:hAnsi="David" w:cs="David"/>
          <w:rtl w:val="true"/>
        </w:rPr>
        <w:t xml:space="preserve"> </w:t>
      </w:r>
      <w:r>
        <w:rPr>
          <w:rFonts w:ascii="Miriam" w:hAnsi="Miriam" w:cs="Miriam"/>
          <w:rtl w:val="true"/>
        </w:rPr>
        <w:t>זילונקה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לעמדת ועדת ערר זו</w:t>
      </w:r>
      <w:r>
        <w:rPr>
          <w:rFonts w:cs="David" w:ascii="David" w:hAnsi="David"/>
          <w:rtl w:val="true"/>
        </w:rPr>
        <w:t xml:space="preserve">, </w:t>
      </w:r>
      <w:r>
        <w:rPr>
          <w:rFonts w:ascii="David" w:hAnsi="David" w:cs="David"/>
          <w:rtl w:val="true"/>
        </w:rPr>
        <w:t>הסיווג המשפטי שניתן לעסקה אינו מכריע</w:t>
      </w:r>
      <w:r>
        <w:rPr>
          <w:rFonts w:cs="David" w:ascii="David" w:hAnsi="David"/>
          <w:rtl w:val="true"/>
        </w:rPr>
        <w:t xml:space="preserve">, </w:t>
      </w:r>
      <w:r>
        <w:rPr>
          <w:rFonts w:ascii="David" w:hAnsi="David" w:cs="David"/>
          <w:rtl w:val="true"/>
        </w:rPr>
        <w:t>כשלעצמו</w:t>
      </w:r>
      <w:r>
        <w:rPr>
          <w:rFonts w:cs="David" w:ascii="David" w:hAnsi="David"/>
          <w:rtl w:val="true"/>
        </w:rPr>
        <w:t xml:space="preserve">, </w:t>
      </w:r>
      <w:r>
        <w:rPr>
          <w:rFonts w:ascii="David" w:hAnsi="David" w:cs="David"/>
          <w:rtl w:val="true"/>
        </w:rPr>
        <w:t>בשאלת תחולתו של סעיף הפטור</w:t>
      </w:r>
      <w:r>
        <w:rPr>
          <w:rFonts w:cs="David" w:ascii="David" w:hAnsi="David"/>
          <w:rtl w:val="true"/>
        </w:rPr>
        <w:t xml:space="preserve">. </w:t>
      </w:r>
      <w:r>
        <w:rPr>
          <w:rFonts w:ascii="David" w:hAnsi="David" w:cs="David"/>
          <w:rtl w:val="true"/>
        </w:rPr>
        <w:t>מקום שבו העברת הזכויות</w:t>
      </w:r>
      <w:r>
        <w:rPr>
          <w:rFonts w:cs="David" w:ascii="David" w:hAnsi="David"/>
          <w:rtl w:val="true"/>
        </w:rPr>
        <w:t xml:space="preserve">, </w:t>
      </w:r>
      <w:r>
        <w:rPr>
          <w:rFonts w:ascii="David" w:hAnsi="David" w:cs="David"/>
          <w:rtl w:val="true"/>
        </w:rPr>
        <w:t>מערך החיובים שבין הצדדים והבנייה העתידה שלובים זה בזה ומהווים חלקים של מהלך תכנוני וכלכלי אחד</w:t>
      </w:r>
      <w:r>
        <w:rPr>
          <w:rFonts w:cs="David" w:ascii="David" w:hAnsi="David"/>
          <w:rtl w:val="true"/>
        </w:rPr>
        <w:t xml:space="preserve">, </w:t>
      </w:r>
      <w:r>
        <w:rPr>
          <w:rFonts w:ascii="David" w:hAnsi="David" w:cs="David"/>
          <w:rtl w:val="true"/>
        </w:rPr>
        <w:t>אין הצדקה לבודד רכיב אחד מהמכלול ולבחון אותו במנותק מהקשרו</w:t>
      </w:r>
      <w:r>
        <w:rPr>
          <w:rFonts w:cs="David" w:ascii="David" w:hAnsi="David"/>
          <w:rtl w:val="true"/>
        </w:rPr>
        <w:t xml:space="preserve">. </w:t>
      </w:r>
      <w:r>
        <w:rPr>
          <w:rFonts w:ascii="David" w:hAnsi="David" w:cs="David"/>
          <w:rtl w:val="true"/>
        </w:rPr>
        <w:t>תחת זאת</w:t>
      </w:r>
      <w:r>
        <w:rPr>
          <w:rFonts w:cs="David" w:ascii="David" w:hAnsi="David"/>
          <w:rtl w:val="true"/>
        </w:rPr>
        <w:t xml:space="preserve">, </w:t>
      </w:r>
      <w:r>
        <w:rPr>
          <w:rFonts w:ascii="David" w:hAnsi="David" w:cs="David"/>
          <w:rtl w:val="true"/>
        </w:rPr>
        <w:t>יש להשקיף על המהלך בכללותו ולבחון את הזיקה המהותית שבין מימוש הזכויות לבין הקמת המרחבים המוגנים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אף שגישה זו נדחתה </w:t>
      </w:r>
      <w:r>
        <w:rPr>
          <w:rFonts w:ascii="Miriam" w:hAnsi="Miriam" w:cs="Miriam"/>
          <w:rtl w:val="true"/>
        </w:rPr>
        <w:t>בעניין זילונקה</w:t>
      </w:r>
      <w:r>
        <w:rPr>
          <w:rFonts w:ascii="David" w:hAnsi="David" w:cs="David"/>
          <w:rtl w:val="true"/>
        </w:rPr>
        <w:t xml:space="preserve"> בכל הנוגע לעסקאות קומבינציה מסוג מכר חלקי</w:t>
      </w:r>
      <w:r>
        <w:rPr>
          <w:rFonts w:cs="David" w:ascii="David" w:hAnsi="David"/>
          <w:rtl w:val="true"/>
        </w:rPr>
        <w:t xml:space="preserve">, </w:t>
      </w:r>
      <w:r>
        <w:rPr>
          <w:rFonts w:ascii="David" w:hAnsi="David" w:cs="David"/>
          <w:rtl w:val="true"/>
        </w:rPr>
        <w:t>איננו סבורים כי ניתן להקיש מן האמור בפסק הדין גם על מיזמים תכנוניים מורכבים יותר</w:t>
      </w:r>
      <w:r>
        <w:rPr>
          <w:rFonts w:cs="David" w:ascii="David" w:hAnsi="David"/>
          <w:rtl w:val="true"/>
        </w:rPr>
        <w:t xml:space="preserve">, </w:t>
      </w:r>
      <w:r>
        <w:rPr>
          <w:rFonts w:ascii="David" w:hAnsi="David" w:cs="David"/>
          <w:rtl w:val="true"/>
        </w:rPr>
        <w:t>כגון מיזמי התחדשות עירונית מסוג פינוי ובינוי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לגישתנו</w:t>
      </w:r>
      <w:r>
        <w:rPr>
          <w:rFonts w:cs="David" w:ascii="David" w:hAnsi="David"/>
          <w:rtl w:val="true"/>
        </w:rPr>
        <w:t xml:space="preserve">, </w:t>
      </w:r>
      <w:r>
        <w:rPr>
          <w:rFonts w:ascii="David" w:hAnsi="David" w:cs="David"/>
          <w:rtl w:val="true"/>
        </w:rPr>
        <w:t>מיזם פינוי ובינוי אינו בא לעולם באבחה אחת</w:t>
      </w:r>
      <w:r>
        <w:rPr>
          <w:rFonts w:cs="David" w:ascii="David" w:hAnsi="David"/>
          <w:rtl w:val="true"/>
        </w:rPr>
        <w:t xml:space="preserve">. </w:t>
      </w:r>
      <w:r>
        <w:rPr>
          <w:rFonts w:ascii="David" w:hAnsi="David" w:cs="David"/>
          <w:rtl w:val="true"/>
        </w:rPr>
        <w:t>הוא נרקם</w:t>
      </w:r>
      <w:r>
        <w:rPr>
          <w:rFonts w:cs="David" w:ascii="David" w:hAnsi="David"/>
          <w:rtl w:val="true"/>
        </w:rPr>
        <w:t xml:space="preserve">, </w:t>
      </w:r>
      <w:r>
        <w:rPr>
          <w:rFonts w:ascii="David" w:hAnsi="David" w:cs="David"/>
          <w:rtl w:val="true"/>
        </w:rPr>
        <w:t>נדבך על גבי נדבך</w:t>
      </w:r>
      <w:r>
        <w:rPr>
          <w:rFonts w:cs="David" w:ascii="David" w:hAnsi="David"/>
          <w:rtl w:val="true"/>
        </w:rPr>
        <w:t xml:space="preserve">, </w:t>
      </w:r>
      <w:r>
        <w:rPr>
          <w:rFonts w:ascii="David" w:hAnsi="David" w:cs="David"/>
          <w:rtl w:val="true"/>
        </w:rPr>
        <w:t>החל במארג ההתקשרויות החוזיות</w:t>
      </w:r>
      <w:r>
        <w:rPr>
          <w:rFonts w:cs="David" w:ascii="David" w:hAnsi="David"/>
          <w:rtl w:val="true"/>
        </w:rPr>
        <w:t xml:space="preserve">, </w:t>
      </w:r>
      <w:r>
        <w:rPr>
          <w:rFonts w:ascii="David" w:hAnsi="David" w:cs="David"/>
          <w:rtl w:val="true"/>
        </w:rPr>
        <w:t>עבור בהליכי התכנון והרישוי</w:t>
      </w:r>
      <w:r>
        <w:rPr>
          <w:rFonts w:cs="David" w:ascii="David" w:hAnsi="David"/>
          <w:rtl w:val="true"/>
        </w:rPr>
        <w:t xml:space="preserve">, </w:t>
      </w:r>
      <w:r>
        <w:rPr>
          <w:rFonts w:ascii="David" w:hAnsi="David" w:cs="David"/>
          <w:rtl w:val="true"/>
        </w:rPr>
        <w:t>וכלה בהריסת הקיים ובהקמת החדש</w:t>
      </w:r>
      <w:r>
        <w:rPr>
          <w:rFonts w:cs="David" w:ascii="David" w:hAnsi="David"/>
          <w:rtl w:val="true"/>
        </w:rPr>
        <w:t xml:space="preserve">. </w:t>
      </w:r>
      <w:r>
        <w:rPr>
          <w:rFonts w:ascii="David" w:hAnsi="David" w:cs="David"/>
          <w:rtl w:val="true"/>
        </w:rPr>
        <w:t>כל חוליה בשרשרת נשענת על קודמתה ומוליכה אל הבאה אחריה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רקע זה</w:t>
      </w:r>
      <w:r>
        <w:rPr>
          <w:rFonts w:cs="David" w:ascii="David" w:hAnsi="David"/>
          <w:rtl w:val="true"/>
        </w:rPr>
        <w:t xml:space="preserve">, </w:t>
      </w:r>
      <w:r>
        <w:rPr>
          <w:rFonts w:ascii="David" w:hAnsi="David" w:cs="David"/>
          <w:rtl w:val="true"/>
        </w:rPr>
        <w:t xml:space="preserve">הסכמי המכר אשר נערכים לצורך ביצועו של מיזם מסוג פינוי ובינוי אינם אלא חוליה אחת בשרשרת מהלכים חוזיים ותכנוניים שנועדו להוליך לתוצאה אחת – </w:t>
      </w:r>
      <w:r>
        <w:rPr>
          <w:rFonts w:ascii="Miriam" w:hAnsi="Miriam" w:cs="Miriam"/>
          <w:rtl w:val="true"/>
        </w:rPr>
        <w:t>בנייה בפועל</w:t>
      </w:r>
      <w:r>
        <w:rPr>
          <w:rFonts w:cs="David" w:ascii="David" w:hAnsi="David"/>
          <w:rtl w:val="true"/>
        </w:rPr>
        <w:t xml:space="preserve">. </w:t>
      </w:r>
      <w:r>
        <w:rPr>
          <w:rFonts w:ascii="David" w:hAnsi="David" w:cs="David"/>
          <w:rtl w:val="true"/>
        </w:rPr>
        <w:t>במובן זה</w:t>
      </w:r>
      <w:r>
        <w:rPr>
          <w:rFonts w:cs="David" w:ascii="David" w:hAnsi="David"/>
          <w:rtl w:val="true"/>
        </w:rPr>
        <w:t xml:space="preserve">, </w:t>
      </w:r>
      <w:r>
        <w:rPr>
          <w:rFonts w:ascii="David" w:hAnsi="David" w:cs="David"/>
          <w:rtl w:val="true"/>
        </w:rPr>
        <w:t>העברת הזכויות אינה התכלית אלא האמצעי</w:t>
      </w:r>
      <w:r>
        <w:rPr>
          <w:rFonts w:cs="David" w:ascii="David" w:hAnsi="David"/>
          <w:rtl w:val="true"/>
        </w:rPr>
        <w:t xml:space="preserve">, </w:t>
      </w:r>
      <w:r>
        <w:rPr>
          <w:rFonts w:ascii="David" w:hAnsi="David" w:cs="David"/>
          <w:rtl w:val="true"/>
        </w:rPr>
        <w:t>והבנייה היא התכלית שאליה מכוון המיזם כולו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מכאן הקושי בניסיון לבודד את הסכם המכר</w:t>
      </w:r>
      <w:r>
        <w:rPr>
          <w:rFonts w:cs="David" w:ascii="David" w:hAnsi="David"/>
          <w:rtl w:val="true"/>
        </w:rPr>
        <w:t xml:space="preserve">, </w:t>
      </w:r>
      <w:r>
        <w:rPr>
          <w:rFonts w:ascii="David" w:hAnsi="David" w:cs="David"/>
          <w:rtl w:val="true"/>
        </w:rPr>
        <w:t>להוציאו מהקשרו ולבחון אותו כאילו היה אירוע העומד בפני עצמו</w:t>
      </w:r>
      <w:r>
        <w:rPr>
          <w:rFonts w:cs="David" w:ascii="David" w:hAnsi="David"/>
          <w:rtl w:val="true"/>
        </w:rPr>
        <w:t xml:space="preserve">. </w:t>
      </w:r>
      <w:r>
        <w:rPr>
          <w:rFonts w:ascii="David" w:hAnsi="David" w:cs="David"/>
          <w:rtl w:val="true"/>
        </w:rPr>
        <w:t>מהלך כזה משול לנטילת חוליה אחת מן השרשרת ובחינתה במנותק מן החוליות שלפניה ושלאחריה</w:t>
      </w:r>
      <w:r>
        <w:rPr>
          <w:rFonts w:cs="David" w:ascii="David" w:hAnsi="David"/>
          <w:rtl w:val="true"/>
        </w:rPr>
        <w:t xml:space="preserve">. </w:t>
      </w:r>
      <w:r>
        <w:rPr>
          <w:rFonts w:ascii="David" w:hAnsi="David" w:cs="David"/>
          <w:rtl w:val="true"/>
        </w:rPr>
        <w:t>התוצאה עלולה להיות תמונה משפטית מדויקת בפרטיה אך שגויה במכלולה – תמונה המחמיצה הן את מהותה הכלכלית והמשפטית של העסקה</w:t>
      </w:r>
      <w:r>
        <w:rPr>
          <w:rFonts w:cs="David" w:ascii="David" w:hAnsi="David"/>
          <w:rtl w:val="true"/>
        </w:rPr>
        <w:t xml:space="preserve">, </w:t>
      </w:r>
      <w:r>
        <w:rPr>
          <w:rFonts w:ascii="David" w:hAnsi="David" w:cs="David"/>
          <w:rtl w:val="true"/>
        </w:rPr>
        <w:t>והן את התכלית שלשמה נקבע הפטור</w:t>
      </w:r>
      <w:r>
        <w:rPr>
          <w:rFonts w:cs="David" w:ascii="David" w:hAnsi="David"/>
          <w:rtl w:val="true"/>
        </w:rPr>
        <w:t>.</w:t>
      </w:r>
    </w:p>
    <w:p>
      <w:pPr>
        <w:pStyle w:val="Ruller43"/>
        <w:spacing w:before="240" w:after="240"/>
        <w:ind w:start="510" w:end="0"/>
        <w:jc w:val="both"/>
        <w:rPr>
          <w:rFonts w:ascii="David" w:hAnsi="David" w:cs="David"/>
        </w:rPr>
      </w:pPr>
      <w:r>
        <w:rPr>
          <w:rFonts w:cs="David" w:ascii="David" w:hAnsi="David"/>
          <w:rtl w:val="true"/>
        </w:rPr>
        <w:t>(</w:t>
      </w:r>
      <w:r>
        <w:rPr>
          <w:rFonts w:ascii="David" w:hAnsi="David" w:cs="David"/>
          <w:rtl w:val="true"/>
        </w:rPr>
        <w:t>לעמדה דומה ראו</w:t>
      </w:r>
      <w:r>
        <w:rPr>
          <w:rFonts w:cs="David" w:ascii="David" w:hAnsi="David"/>
          <w:rtl w:val="true"/>
        </w:rPr>
        <w:t xml:space="preserve">: </w:t>
      </w:r>
      <w:r>
        <w:rPr>
          <w:rFonts w:ascii="David" w:hAnsi="David" w:cs="David"/>
          <w:rtl w:val="true"/>
        </w:rPr>
        <w:t xml:space="preserve">ערר </w:t>
      </w:r>
      <w:r>
        <w:rPr>
          <w:rFonts w:cs="David" w:ascii="David" w:hAnsi="David"/>
          <w:rtl w:val="true"/>
        </w:rPr>
        <w:t>(</w:t>
      </w:r>
      <w:r>
        <w:rPr>
          <w:rFonts w:ascii="David" w:hAnsi="David" w:cs="David"/>
          <w:rtl w:val="true"/>
        </w:rPr>
        <w:t xml:space="preserve">ועדות ערר </w:t>
      </w:r>
      <w:r>
        <w:rPr>
          <w:rFonts w:cs="David" w:ascii="David" w:hAnsi="David"/>
          <w:rtl w:val="true"/>
        </w:rPr>
        <w:t xml:space="preserve">- </w:t>
      </w:r>
      <w:r>
        <w:rPr>
          <w:rFonts w:ascii="David" w:hAnsi="David" w:cs="David"/>
          <w:rtl w:val="true"/>
        </w:rPr>
        <w:t>תכנון ובנייה מרכז</w:t>
      </w:r>
      <w:r>
        <w:rPr>
          <w:rFonts w:cs="David" w:ascii="David" w:hAnsi="David"/>
          <w:rtl w:val="true"/>
        </w:rPr>
        <w:t xml:space="preserve">) </w:t>
      </w:r>
      <w:r>
        <w:rPr>
          <w:rFonts w:cs="David" w:ascii="David" w:hAnsi="David"/>
        </w:rPr>
        <w:t>8045-05-26</w:t>
      </w:r>
      <w:r>
        <w:rPr>
          <w:rFonts w:cs="David" w:ascii="David" w:hAnsi="David"/>
          <w:rtl w:val="true"/>
        </w:rPr>
        <w:t xml:space="preserve"> </w:t>
      </w:r>
      <w:r>
        <w:rPr>
          <w:rFonts w:ascii="Miriam" w:hAnsi="Miriam" w:cs="Miriam"/>
          <w:rtl w:val="true"/>
        </w:rPr>
        <w:t>הוועדה המקומית לתכנון ולבנייה יהוד</w:t>
      </w:r>
      <w:r>
        <w:rPr>
          <w:rFonts w:cs="Miriam" w:ascii="Miriam" w:hAnsi="Miriam"/>
          <w:rtl w:val="true"/>
        </w:rPr>
        <w:t>-</w:t>
      </w:r>
      <w:r>
        <w:rPr>
          <w:rFonts w:ascii="Miriam" w:hAnsi="Miriam" w:cs="Miriam"/>
          <w:rtl w:val="true"/>
        </w:rPr>
        <w:t>מונוסון נ</w:t>
      </w:r>
      <w:r>
        <w:rPr>
          <w:rFonts w:cs="Miriam" w:ascii="Miriam" w:hAnsi="Miriam"/>
          <w:rtl w:val="true"/>
        </w:rPr>
        <w:t xml:space="preserve">' </w:t>
      </w:r>
      <w:r>
        <w:rPr>
          <w:rFonts w:ascii="Miriam" w:hAnsi="Miriam" w:cs="Miriam"/>
          <w:rtl w:val="true"/>
        </w:rPr>
        <w:t>א</w:t>
      </w:r>
      <w:r>
        <w:rPr>
          <w:rFonts w:cs="Miriam" w:ascii="Miriam" w:hAnsi="Miriam"/>
          <w:rtl w:val="true"/>
        </w:rPr>
        <w:t>.</w:t>
      </w:r>
      <w:r>
        <w:rPr>
          <w:rFonts w:ascii="Miriam" w:hAnsi="Miriam" w:cs="Miriam"/>
          <w:rtl w:val="true"/>
        </w:rPr>
        <w:t>ג</w:t>
      </w:r>
      <w:r>
        <w:rPr>
          <w:rFonts w:cs="Miriam" w:ascii="Miriam" w:hAnsi="Miriam"/>
          <w:rtl w:val="true"/>
        </w:rPr>
        <w:t xml:space="preserve">. </w:t>
      </w:r>
      <w:r>
        <w:rPr>
          <w:rFonts w:ascii="Miriam" w:hAnsi="Miriam" w:cs="Miriam"/>
          <w:rtl w:val="true"/>
        </w:rPr>
        <w:t xml:space="preserve">אופק החזקות </w:t>
      </w:r>
      <w:r>
        <w:rPr>
          <w:rFonts w:cs="Miriam" w:ascii="Miriam" w:hAnsi="Miriam"/>
          <w:rtl w:val="true"/>
        </w:rPr>
        <w:t xml:space="preserve">- </w:t>
      </w:r>
      <w:r>
        <w:rPr>
          <w:rFonts w:ascii="Miriam" w:hAnsi="Miriam" w:cs="Miriam"/>
          <w:rtl w:val="true"/>
        </w:rPr>
        <w:t>התחדשות עירונית בע״מ</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22.9.2026</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ואולם</w:t>
      </w:r>
      <w:r>
        <w:rPr>
          <w:rFonts w:cs="David" w:ascii="David" w:hAnsi="David"/>
          <w:rtl w:val="true"/>
        </w:rPr>
        <w:t xml:space="preserve">, </w:t>
      </w:r>
      <w:r>
        <w:rPr>
          <w:rFonts w:ascii="David" w:hAnsi="David" w:cs="David"/>
          <w:rtl w:val="true"/>
        </w:rPr>
        <w:t>גישה שונה הוצגה בפסק הדין שניתן ב</w:t>
      </w:r>
      <w:hyperlink r:id="rId19">
        <w:r>
          <w:rPr>
            <w:rStyle w:val="Hyperlink"/>
            <w:rFonts w:ascii="David" w:hAnsi="David" w:cs="David"/>
            <w:color w:val="0000FF"/>
            <w:u w:val="single"/>
            <w:rtl w:val="true"/>
          </w:rPr>
          <w:t>עמ</w:t>
        </w:r>
        <w:r>
          <w:rPr>
            <w:rStyle w:val="Hyperlink"/>
            <w:rFonts w:cs="David" w:ascii="David" w:hAnsi="David"/>
            <w:color w:val="0000FF"/>
            <w:u w:val="single"/>
            <w:rtl w:val="true"/>
          </w:rPr>
          <w:t>"</w:t>
        </w:r>
        <w:r>
          <w:rPr>
            <w:rStyle w:val="Hyperlink"/>
            <w:rFonts w:ascii="David" w:hAnsi="David" w:cs="David"/>
            <w:color w:val="0000FF"/>
            <w:u w:val="single"/>
            <w:rtl w:val="true"/>
          </w:rPr>
          <w:t xml:space="preserve">נ </w:t>
        </w:r>
        <w:r>
          <w:rPr>
            <w:rStyle w:val="Hyperlink"/>
            <w:rFonts w:cs="David" w:ascii="David" w:hAnsi="David"/>
            <w:color w:val="0000FF"/>
            <w:u w:val="single"/>
            <w:rtl w:val="true"/>
          </w:rPr>
          <w:t>(</w:t>
        </w:r>
        <w:r>
          <w:rPr>
            <w:rStyle w:val="Hyperlink"/>
            <w:rFonts w:ascii="David" w:hAnsi="David" w:cs="David"/>
            <w:color w:val="0000FF"/>
            <w:u w:val="single"/>
            <w:rtl w:val="true"/>
          </w:rPr>
          <w:t>מינהליים ת</w:t>
        </w:r>
        <w:r>
          <w:rPr>
            <w:rStyle w:val="Hyperlink"/>
            <w:rFonts w:cs="David" w:ascii="David" w:hAnsi="David"/>
            <w:color w:val="0000FF"/>
            <w:u w:val="single"/>
            <w:rtl w:val="true"/>
          </w:rPr>
          <w:t>"</w:t>
        </w:r>
        <w:r>
          <w:rPr>
            <w:rStyle w:val="Hyperlink"/>
            <w:rFonts w:ascii="David" w:hAnsi="David" w:cs="David"/>
            <w:color w:val="0000FF"/>
            <w:u w:val="single"/>
            <w:rtl w:val="true"/>
          </w:rPr>
          <w:t>א</w:t>
        </w:r>
        <w:r>
          <w:rPr>
            <w:rStyle w:val="Hyperlink"/>
            <w:rFonts w:cs="David" w:ascii="David" w:hAnsi="David"/>
            <w:color w:val="0000FF"/>
            <w:u w:val="single"/>
            <w:rtl w:val="true"/>
          </w:rPr>
          <w:t xml:space="preserve">) </w:t>
        </w:r>
        <w:r>
          <w:rPr>
            <w:rStyle w:val="Hyperlink"/>
            <w:rFonts w:cs="David" w:ascii="David" w:hAnsi="David"/>
            <w:color w:val="0000FF"/>
            <w:u w:val="single"/>
          </w:rPr>
          <w:t>35758-09-25</w:t>
        </w:r>
      </w:hyperlink>
      <w:r>
        <w:rPr>
          <w:rFonts w:cs="David" w:ascii="David" w:hAnsi="David"/>
          <w:rtl w:val="true"/>
        </w:rPr>
        <w:t xml:space="preserve"> </w:t>
      </w:r>
      <w:r>
        <w:rPr>
          <w:rFonts w:ascii="Miriam" w:hAnsi="Miriam" w:cs="Miriam"/>
          <w:rtl w:val="true"/>
        </w:rPr>
        <w:t>הוועדה המקומית לתכנון ולבנייה בת ים נ</w:t>
      </w:r>
      <w:r>
        <w:rPr>
          <w:rFonts w:cs="Miriam" w:ascii="Miriam" w:hAnsi="Miriam"/>
          <w:rtl w:val="true"/>
        </w:rPr>
        <w:t xml:space="preserve">' </w:t>
      </w:r>
      <w:r>
        <w:rPr>
          <w:rFonts w:ascii="Miriam" w:hAnsi="Miriam" w:cs="Miriam"/>
          <w:rtl w:val="true"/>
        </w:rPr>
        <w:t>בקר ב</w:t>
      </w:r>
      <w:r>
        <w:rPr>
          <w:rFonts w:cs="Miriam" w:ascii="Miriam" w:hAnsi="Miriam"/>
          <w:rtl w:val="true"/>
        </w:rPr>
        <w:t>.</w:t>
      </w:r>
      <w:r>
        <w:rPr>
          <w:rFonts w:ascii="Miriam" w:hAnsi="Miriam" w:cs="Miriam"/>
          <w:rtl w:val="true"/>
        </w:rPr>
        <w:t>י</w:t>
      </w:r>
      <w:r>
        <w:rPr>
          <w:rFonts w:cs="Miriam" w:ascii="Miriam" w:hAnsi="Miriam"/>
          <w:rtl w:val="true"/>
        </w:rPr>
        <w:t xml:space="preserve">. </w:t>
      </w:r>
      <w:r>
        <w:rPr>
          <w:rFonts w:ascii="Miriam" w:hAnsi="Miriam" w:cs="Miriam"/>
          <w:rtl w:val="true"/>
        </w:rPr>
        <w:t>חברה לבניין בע</w:t>
      </w:r>
      <w:r>
        <w:rPr>
          <w:rFonts w:cs="Miriam" w:ascii="Miriam" w:hAnsi="Miriam"/>
          <w:rtl w:val="true"/>
        </w:rPr>
        <w:t>"</w:t>
      </w:r>
      <w:r>
        <w:rPr>
          <w:rFonts w:ascii="Miriam" w:hAnsi="Miriam" w:cs="Miriam"/>
          <w:rtl w:val="true"/>
        </w:rPr>
        <w:t>מ</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4.5.2026</w:t>
      </w:r>
      <w:r>
        <w:rPr>
          <w:rFonts w:cs="David" w:ascii="David" w:hAnsi="David"/>
          <w:rtl w:val="true"/>
        </w:rPr>
        <w:t>) (</w:t>
      </w:r>
      <w:r>
        <w:rPr>
          <w:rFonts w:ascii="David" w:hAnsi="David" w:cs="David"/>
          <w:rtl w:val="true"/>
        </w:rPr>
        <w:t>להלן</w:t>
      </w:r>
      <w:r>
        <w:rPr>
          <w:rFonts w:cs="David" w:ascii="David" w:hAnsi="David"/>
          <w:rtl w:val="true"/>
        </w:rPr>
        <w:t xml:space="preserve">: </w:t>
      </w:r>
      <w:r>
        <w:rPr>
          <w:rFonts w:ascii="Miriam" w:hAnsi="Miriam" w:cs="Miriam"/>
          <w:rtl w:val="true"/>
        </w:rPr>
        <w:t>עניין בקר</w:t>
      </w:r>
      <w:r>
        <w:rPr>
          <w:rFonts w:cs="David" w:ascii="David" w:hAnsi="David"/>
          <w:rtl w:val="true"/>
        </w:rPr>
        <w:t xml:space="preserve">). </w:t>
      </w:r>
      <w:r>
        <w:rPr>
          <w:rFonts w:ascii="David" w:hAnsi="David" w:cs="David"/>
          <w:rtl w:val="true"/>
        </w:rPr>
        <w:t>באותו עניין הבחין בית המשפט בין הסכמי פינוי ובינוי שנכרתו קודם לתחילת התוכנית לבין הסכמים שנכרתו לאחר תחילתה</w:t>
      </w:r>
      <w:r>
        <w:rPr>
          <w:rFonts w:cs="David" w:ascii="David" w:hAnsi="David"/>
          <w:rtl w:val="true"/>
        </w:rPr>
        <w:t xml:space="preserve">. </w:t>
      </w:r>
      <w:r>
        <w:rPr>
          <w:rFonts w:ascii="David" w:hAnsi="David" w:cs="David"/>
          <w:rtl w:val="true"/>
        </w:rPr>
        <w:t>ביחס לאחרונים נקבע כי כריתתם עולה כדי מימוש בדרך של מכר</w:t>
      </w:r>
      <w:r>
        <w:rPr>
          <w:rFonts w:cs="David" w:ascii="David" w:hAnsi="David"/>
          <w:rtl w:val="true"/>
        </w:rPr>
        <w:t xml:space="preserve">, </w:t>
      </w:r>
      <w:r>
        <w:rPr>
          <w:rFonts w:ascii="David" w:hAnsi="David" w:cs="David"/>
          <w:rtl w:val="true"/>
        </w:rPr>
        <w:t>ומשכך אינה מקימה זכאות לפטור</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לעניות דעתנו</w:t>
      </w:r>
      <w:r>
        <w:rPr>
          <w:rFonts w:cs="David" w:ascii="David" w:hAnsi="David"/>
          <w:rtl w:val="true"/>
        </w:rPr>
        <w:t xml:space="preserve">, </w:t>
      </w:r>
      <w:r>
        <w:rPr>
          <w:rFonts w:ascii="David" w:hAnsi="David" w:cs="David"/>
          <w:rtl w:val="true"/>
        </w:rPr>
        <w:t>תוצאה זו מעוררת קושי</w:t>
      </w:r>
      <w:r>
        <w:rPr>
          <w:rFonts w:cs="David" w:ascii="David" w:hAnsi="David"/>
          <w:rtl w:val="true"/>
        </w:rPr>
        <w:t xml:space="preserve">. </w:t>
      </w:r>
      <w:r>
        <w:rPr>
          <w:rFonts w:ascii="David" w:hAnsi="David" w:cs="David"/>
          <w:rtl w:val="true"/>
        </w:rPr>
        <w:t>לשיטתנו</w:t>
      </w:r>
      <w:r>
        <w:rPr>
          <w:rFonts w:cs="David" w:ascii="David" w:hAnsi="David"/>
          <w:rtl w:val="true"/>
        </w:rPr>
        <w:t xml:space="preserve">, </w:t>
      </w:r>
      <w:r>
        <w:rPr>
          <w:rFonts w:ascii="David" w:hAnsi="David" w:cs="David"/>
          <w:rtl w:val="true"/>
        </w:rPr>
        <w:t>יש להבחין בין שתי שאלות נפרדות</w:t>
      </w:r>
      <w:r>
        <w:rPr>
          <w:rFonts w:cs="David" w:ascii="David" w:hAnsi="David"/>
          <w:rtl w:val="true"/>
        </w:rPr>
        <w:t xml:space="preserve">: </w:t>
      </w:r>
      <w:r>
        <w:rPr>
          <w:rFonts w:ascii="David" w:hAnsi="David" w:cs="David"/>
          <w:rtl w:val="true"/>
        </w:rPr>
        <w:t>האחת</w:t>
      </w:r>
      <w:r>
        <w:rPr>
          <w:rFonts w:cs="David" w:ascii="David" w:hAnsi="David"/>
          <w:rtl w:val="true"/>
        </w:rPr>
        <w:t xml:space="preserve">, </w:t>
      </w:r>
      <w:r>
        <w:rPr>
          <w:rFonts w:ascii="David" w:hAnsi="David" w:cs="David"/>
          <w:rtl w:val="true"/>
        </w:rPr>
        <w:t>אם התרחש אירוע מימוש</w:t>
      </w:r>
      <w:r>
        <w:rPr>
          <w:rFonts w:cs="David" w:ascii="David" w:hAnsi="David"/>
          <w:rtl w:val="true"/>
        </w:rPr>
        <w:t xml:space="preserve">; </w:t>
      </w:r>
      <w:r>
        <w:rPr>
          <w:rFonts w:ascii="David" w:hAnsi="David" w:cs="David"/>
          <w:rtl w:val="true"/>
        </w:rPr>
        <w:t>והשנייה</w:t>
      </w:r>
      <w:r>
        <w:rPr>
          <w:rFonts w:cs="David" w:ascii="David" w:hAnsi="David"/>
          <w:rtl w:val="true"/>
        </w:rPr>
        <w:t xml:space="preserve">, </w:t>
      </w:r>
      <w:r>
        <w:rPr>
          <w:rFonts w:ascii="David" w:hAnsi="David" w:cs="David"/>
          <w:rtl w:val="true"/>
        </w:rPr>
        <w:t>אם ההשבחה שמומשה באותו אירוע היא מן ההשבחות שהמחוקק ביקש להוציא מגדר החיוב</w:t>
      </w:r>
      <w:r>
        <w:rPr>
          <w:rFonts w:cs="David" w:ascii="David" w:hAnsi="David"/>
          <w:rtl w:val="true"/>
        </w:rPr>
        <w:t xml:space="preserve">. </w:t>
      </w:r>
      <w:r>
        <w:rPr>
          <w:rFonts w:ascii="David" w:hAnsi="David" w:cs="David"/>
          <w:rtl w:val="true"/>
        </w:rPr>
        <w:t>מענה חיובי לשאלה הראשונה אינו מייתר את הדיון בשאלה השנייה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נקודת המוצא לבחינה זו מצויה בלשונו של סעיף הפטור</w:t>
      </w:r>
      <w:r>
        <w:rPr>
          <w:rFonts w:cs="David" w:ascii="David" w:hAnsi="David"/>
          <w:rtl w:val="true"/>
        </w:rPr>
        <w:t xml:space="preserve">, </w:t>
      </w:r>
      <w:r>
        <w:rPr>
          <w:rFonts w:ascii="David" w:hAnsi="David" w:cs="David"/>
          <w:rtl w:val="true"/>
        </w:rPr>
        <w:t xml:space="preserve">המתייחס להשבחה </w:t>
      </w:r>
      <w:r>
        <w:rPr>
          <w:rFonts w:cs="David" w:ascii="David" w:hAnsi="David"/>
          <w:rtl w:val="true"/>
        </w:rPr>
        <w:t>"</w:t>
      </w:r>
      <w:r>
        <w:rPr>
          <w:rFonts w:ascii="David" w:hAnsi="David" w:cs="David"/>
          <w:rtl w:val="true"/>
        </w:rPr>
        <w:t>בשל בניית מרחב מוגן</w:t>
      </w:r>
      <w:r>
        <w:rPr>
          <w:rFonts w:cs="David" w:ascii="David" w:hAnsi="David"/>
          <w:rtl w:val="true"/>
        </w:rPr>
        <w:t xml:space="preserve">". </w:t>
      </w:r>
      <w:r>
        <w:rPr>
          <w:rFonts w:ascii="David" w:hAnsi="David" w:cs="David"/>
          <w:rtl w:val="true"/>
        </w:rPr>
        <w:t>הדגש שהניח המחוקק הוא על הזיקה שבין ההשבחה לבין בניית המרחב המוגן</w:t>
      </w:r>
      <w:r>
        <w:rPr>
          <w:rFonts w:cs="David" w:ascii="David" w:hAnsi="David"/>
          <w:rtl w:val="true"/>
        </w:rPr>
        <w:t xml:space="preserve">, </w:t>
      </w:r>
      <w:r>
        <w:rPr>
          <w:rFonts w:ascii="David" w:hAnsi="David" w:cs="David"/>
          <w:rtl w:val="true"/>
        </w:rPr>
        <w:t>ולא בהכרח על זהות הגורם שמבצע את הבנייה בפועל</w:t>
      </w:r>
      <w:r>
        <w:rPr>
          <w:rFonts w:cs="David" w:ascii="David" w:hAnsi="David"/>
          <w:rtl w:val="true"/>
        </w:rPr>
        <w:t xml:space="preserve">. </w:t>
      </w:r>
      <w:r>
        <w:rPr>
          <w:rFonts w:ascii="David" w:hAnsi="David" w:cs="David"/>
          <w:rtl w:val="true"/>
        </w:rPr>
        <w:t xml:space="preserve">מסקנה זו מתיישבת אף עם תכליתו הסובייקטיבית והאובייקטיבית של הפטור </w:t>
      </w:r>
      <w:r>
        <w:rPr>
          <w:rFonts w:cs="David" w:ascii="David" w:hAnsi="David"/>
          <w:rtl w:val="true"/>
        </w:rPr>
        <w:t>(</w:t>
      </w:r>
      <w:r>
        <w:rPr>
          <w:rFonts w:ascii="David" w:hAnsi="David" w:cs="David"/>
          <w:rtl w:val="true"/>
        </w:rPr>
        <w:t>ראו</w:t>
      </w:r>
      <w:r>
        <w:rPr>
          <w:rFonts w:cs="David" w:ascii="David" w:hAnsi="David"/>
          <w:rtl w:val="true"/>
        </w:rPr>
        <w:t xml:space="preserve">: </w:t>
      </w:r>
      <w:r>
        <w:rPr>
          <w:rFonts w:ascii="Miriam" w:hAnsi="Miriam" w:cs="Miriam"/>
          <w:rtl w:val="true"/>
        </w:rPr>
        <w:t>עניין פרטיאלי</w:t>
      </w:r>
      <w:r>
        <w:rPr>
          <w:rFonts w:cs="David" w:ascii="David" w:hAnsi="David"/>
          <w:rtl w:val="true"/>
        </w:rPr>
        <w:t xml:space="preserve">, </w:t>
      </w:r>
      <w:r>
        <w:rPr>
          <w:rFonts w:ascii="David" w:hAnsi="David" w:cs="David"/>
          <w:rtl w:val="true"/>
        </w:rPr>
        <w:t xml:space="preserve">בפסקה </w:t>
      </w:r>
      <w:r>
        <w:rPr>
          <w:rFonts w:cs="David" w:ascii="David" w:hAnsi="David"/>
        </w:rPr>
        <w:t>60</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רקע זה</w:t>
      </w:r>
      <w:r>
        <w:rPr>
          <w:rFonts w:cs="David" w:ascii="David" w:hAnsi="David"/>
          <w:rtl w:val="true"/>
        </w:rPr>
        <w:t xml:space="preserve">, </w:t>
      </w:r>
      <w:r>
        <w:rPr>
          <w:rFonts w:ascii="David" w:hAnsi="David" w:cs="David"/>
          <w:rtl w:val="true"/>
        </w:rPr>
        <w:t>איננו סבורים כי עצם הסתייעותו של בעל הזכויות ביזם מנתקת</w:t>
      </w:r>
      <w:r>
        <w:rPr>
          <w:rFonts w:cs="David" w:ascii="David" w:hAnsi="David"/>
          <w:rtl w:val="true"/>
        </w:rPr>
        <w:t xml:space="preserve">, </w:t>
      </w:r>
      <w:r>
        <w:rPr>
          <w:rFonts w:ascii="David" w:hAnsi="David" w:cs="David"/>
          <w:rtl w:val="true"/>
        </w:rPr>
        <w:t>מניה וביה</w:t>
      </w:r>
      <w:r>
        <w:rPr>
          <w:rFonts w:cs="David" w:ascii="David" w:hAnsi="David"/>
          <w:rtl w:val="true"/>
        </w:rPr>
        <w:t xml:space="preserve">, </w:t>
      </w:r>
      <w:r>
        <w:rPr>
          <w:rFonts w:ascii="David" w:hAnsi="David" w:cs="David"/>
          <w:rtl w:val="true"/>
        </w:rPr>
        <w:t>את הזיקה הנדרשת לבניית המרחב המוגן</w:t>
      </w:r>
      <w:r>
        <w:rPr>
          <w:rFonts w:cs="David" w:ascii="David" w:hAnsi="David"/>
          <w:rtl w:val="true"/>
        </w:rPr>
        <w:t xml:space="preserve">. </w:t>
      </w:r>
      <w:r>
        <w:rPr>
          <w:rFonts w:ascii="David" w:hAnsi="David" w:cs="David"/>
          <w:rtl w:val="true"/>
        </w:rPr>
        <w:t>זיקה זו עשויה להתקיים גם מקום שבו הבנייה מבוצעת באמצעות יזם</w:t>
      </w:r>
      <w:r>
        <w:rPr>
          <w:rFonts w:cs="David" w:ascii="David" w:hAnsi="David"/>
          <w:rtl w:val="true"/>
        </w:rPr>
        <w:t xml:space="preserve">, </w:t>
      </w:r>
      <w:r>
        <w:rPr>
          <w:rFonts w:ascii="David" w:hAnsi="David" w:cs="David"/>
          <w:rtl w:val="true"/>
        </w:rPr>
        <w:t>כחלק ממערך חוזי אחד</w:t>
      </w:r>
      <w:r>
        <w:rPr>
          <w:rFonts w:cs="David" w:ascii="David" w:hAnsi="David"/>
          <w:rtl w:val="true"/>
        </w:rPr>
        <w:t xml:space="preserve">, </w:t>
      </w:r>
      <w:r>
        <w:rPr>
          <w:rFonts w:ascii="David" w:hAnsi="David" w:cs="David"/>
          <w:rtl w:val="true"/>
        </w:rPr>
        <w:t>שבגדרו העברת הזכויות מזה והתחייבות היזם לבנייה מזה הן התחייבויות שלובות</w:t>
      </w:r>
      <w:r>
        <w:rPr>
          <w:rFonts w:cs="David" w:ascii="David" w:hAnsi="David"/>
          <w:rtl w:val="true"/>
        </w:rPr>
        <w:t xml:space="preserve">. </w:t>
      </w:r>
      <w:r>
        <w:rPr>
          <w:rFonts w:ascii="David" w:hAnsi="David" w:cs="David"/>
          <w:rtl w:val="true"/>
        </w:rPr>
        <w:t>בנסיבות אלה</w:t>
      </w:r>
      <w:r>
        <w:rPr>
          <w:rFonts w:cs="David" w:ascii="David" w:hAnsi="David"/>
          <w:rtl w:val="true"/>
        </w:rPr>
        <w:t xml:space="preserve">, </w:t>
      </w:r>
      <w:r>
        <w:rPr>
          <w:rFonts w:ascii="David" w:hAnsi="David" w:cs="David"/>
          <w:rtl w:val="true"/>
        </w:rPr>
        <w:t>יש לבחון את מהותה של ההשבחה ואת מקורה</w:t>
      </w:r>
      <w:r>
        <w:rPr>
          <w:rFonts w:cs="David" w:ascii="David" w:hAnsi="David"/>
          <w:rtl w:val="true"/>
        </w:rPr>
        <w:t xml:space="preserve">, </w:t>
      </w:r>
      <w:r>
        <w:rPr>
          <w:rFonts w:ascii="David" w:hAnsi="David" w:cs="David"/>
          <w:rtl w:val="true"/>
        </w:rPr>
        <w:t>ולא להסתפק בסיווגו הפורמלי של אירוע המימוש כמכר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וזהו</w:t>
      </w:r>
      <w:r>
        <w:rPr>
          <w:rFonts w:cs="David" w:ascii="David" w:hAnsi="David"/>
          <w:rtl w:val="true"/>
        </w:rPr>
        <w:t xml:space="preserve">, </w:t>
      </w:r>
      <w:r>
        <w:rPr>
          <w:rFonts w:ascii="David" w:hAnsi="David" w:cs="David"/>
          <w:rtl w:val="true"/>
        </w:rPr>
        <w:t>לטעמנו</w:t>
      </w:r>
      <w:r>
        <w:rPr>
          <w:rFonts w:cs="David" w:ascii="David" w:hAnsi="David"/>
          <w:rtl w:val="true"/>
        </w:rPr>
        <w:t xml:space="preserve">, </w:t>
      </w:r>
      <w:r>
        <w:rPr>
          <w:rFonts w:ascii="David" w:hAnsi="David" w:cs="David"/>
          <w:rtl w:val="true"/>
        </w:rPr>
        <w:t>מוקד הבחינה</w:t>
      </w:r>
      <w:r>
        <w:rPr>
          <w:rFonts w:cs="David" w:ascii="David" w:hAnsi="David"/>
          <w:rtl w:val="true"/>
        </w:rPr>
        <w:t xml:space="preserve">. </w:t>
      </w:r>
      <w:r>
        <w:rPr>
          <w:rFonts w:ascii="David" w:hAnsi="David" w:cs="David"/>
          <w:rtl w:val="true"/>
        </w:rPr>
        <w:t>לא שמה של העסקה</w:t>
      </w:r>
      <w:r>
        <w:rPr>
          <w:rFonts w:cs="David" w:ascii="David" w:hAnsi="David"/>
          <w:rtl w:val="true"/>
        </w:rPr>
        <w:t xml:space="preserve">, </w:t>
      </w:r>
      <w:r>
        <w:rPr>
          <w:rFonts w:ascii="David" w:hAnsi="David" w:cs="David"/>
          <w:rtl w:val="true"/>
        </w:rPr>
        <w:t>כשלעצמו</w:t>
      </w:r>
      <w:r>
        <w:rPr>
          <w:rFonts w:cs="David" w:ascii="David" w:hAnsi="David"/>
          <w:rtl w:val="true"/>
        </w:rPr>
        <w:t xml:space="preserve">, </w:t>
      </w:r>
      <w:r>
        <w:rPr>
          <w:rFonts w:ascii="David" w:hAnsi="David" w:cs="David"/>
          <w:rtl w:val="true"/>
        </w:rPr>
        <w:t>ואף לא הצהרה בדבר כוונה לבנייה עתידית</w:t>
      </w:r>
      <w:r>
        <w:rPr>
          <w:rFonts w:cs="David" w:ascii="David" w:hAnsi="David"/>
          <w:rtl w:val="true"/>
        </w:rPr>
        <w:t xml:space="preserve">, </w:t>
      </w:r>
      <w:r>
        <w:rPr>
          <w:rFonts w:ascii="David" w:hAnsi="David" w:cs="David"/>
          <w:rtl w:val="true"/>
        </w:rPr>
        <w:t>הם שמכריעים</w:t>
      </w:r>
      <w:r>
        <w:rPr>
          <w:rFonts w:cs="David" w:ascii="David" w:hAnsi="David"/>
          <w:rtl w:val="true"/>
        </w:rPr>
        <w:t xml:space="preserve">. </w:t>
      </w:r>
      <w:r>
        <w:rPr>
          <w:rFonts w:ascii="David" w:hAnsi="David" w:cs="David"/>
          <w:rtl w:val="true"/>
        </w:rPr>
        <w:t>יש לבחון את המציאות המשפטית והתכנונית שהתגבשה בפועל</w:t>
      </w:r>
      <w:r>
        <w:rPr>
          <w:rFonts w:cs="David" w:ascii="David" w:hAnsi="David"/>
          <w:rtl w:val="true"/>
        </w:rPr>
        <w:t xml:space="preserve">, </w:t>
      </w:r>
      <w:r>
        <w:rPr>
          <w:rFonts w:ascii="David" w:hAnsi="David" w:cs="David"/>
          <w:rtl w:val="true"/>
        </w:rPr>
        <w:t>ואת אשר היא מלמדת על עוצמת הזיקה שבין העברת הזכויות לבין הבנייה שלשמה הוענק הפטור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הדברים מתיישבים גם עם ההסדר הקבוע ב</w:t>
      </w:r>
      <w:hyperlink r:id="rId20">
        <w:r>
          <w:rPr>
            <w:rStyle w:val="Hyperlink"/>
            <w:rFonts w:ascii="David" w:hAnsi="David" w:cs="David"/>
            <w:rtl w:val="true"/>
          </w:rPr>
          <w:t xml:space="preserve">סעיף </w:t>
        </w:r>
        <w:r>
          <w:rPr>
            <w:rStyle w:val="Hyperlink"/>
            <w:rFonts w:cs="David" w:ascii="David" w:hAnsi="David"/>
          </w:rPr>
          <w:t>49</w:t>
        </w:r>
        <w:r>
          <w:rPr>
            <w:rStyle w:val="Hyperlink"/>
            <w:rFonts w:ascii="David" w:hAnsi="David" w:cs="David"/>
            <w:rtl w:val="true"/>
          </w:rPr>
          <w:t>כ</w:t>
        </w:r>
      </w:hyperlink>
      <w:r>
        <w:rPr>
          <w:rFonts w:ascii="David" w:hAnsi="David" w:cs="David"/>
          <w:rtl w:val="true"/>
        </w:rPr>
        <w:t xml:space="preserve"> ל</w:t>
      </w:r>
      <w:hyperlink r:id="rId21">
        <w:r>
          <w:rPr>
            <w:rStyle w:val="Hyperlink"/>
            <w:rFonts w:ascii="David" w:hAnsi="David" w:cs="David"/>
            <w:color w:val="0000FF"/>
            <w:u w:val="single"/>
            <w:rtl w:val="true"/>
          </w:rPr>
          <w:t xml:space="preserve">חוק מיסוי מקרקעין </w:t>
        </w:r>
        <w:r>
          <w:rPr>
            <w:rStyle w:val="Hyperlink"/>
            <w:rFonts w:cs="David" w:ascii="David" w:hAnsi="David"/>
            <w:color w:val="0000FF"/>
            <w:u w:val="single"/>
            <w:rtl w:val="true"/>
          </w:rPr>
          <w:t>(</w:t>
        </w:r>
        <w:r>
          <w:rPr>
            <w:rStyle w:val="Hyperlink"/>
            <w:rFonts w:ascii="David" w:hAnsi="David" w:cs="David"/>
            <w:color w:val="0000FF"/>
            <w:u w:val="single"/>
            <w:rtl w:val="true"/>
          </w:rPr>
          <w:t>שבח ורכישה</w:t>
        </w:r>
        <w:r>
          <w:rPr>
            <w:rStyle w:val="Hyperlink"/>
            <w:rFonts w:cs="David" w:ascii="David" w:hAnsi="David"/>
            <w:color w:val="0000FF"/>
            <w:u w:val="single"/>
            <w:rtl w:val="true"/>
          </w:rPr>
          <w:t>)</w:t>
        </w:r>
      </w:hyperlink>
      <w:r>
        <w:rPr>
          <w:rFonts w:cs="David" w:ascii="David" w:hAnsi="David"/>
          <w:rtl w:val="true"/>
        </w:rPr>
        <w:t xml:space="preserve">, </w:t>
      </w:r>
      <w:r>
        <w:rPr>
          <w:rFonts w:ascii="David" w:hAnsi="David" w:cs="David"/>
          <w:rtl w:val="true"/>
        </w:rPr>
        <w:t>התשכ</w:t>
      </w:r>
      <w:r>
        <w:rPr>
          <w:rFonts w:cs="David" w:ascii="David" w:hAnsi="David"/>
          <w:rtl w:val="true"/>
        </w:rPr>
        <w:t>"</w:t>
      </w:r>
      <w:r>
        <w:rPr>
          <w:rFonts w:ascii="David" w:hAnsi="David" w:cs="David"/>
          <w:rtl w:val="true"/>
        </w:rPr>
        <w:t>ג</w:t>
      </w:r>
      <w:r>
        <w:rPr>
          <w:rFonts w:cs="David" w:ascii="David" w:hAnsi="David"/>
          <w:rtl w:val="true"/>
        </w:rPr>
        <w:t>-</w:t>
      </w:r>
      <w:r>
        <w:rPr>
          <w:rFonts w:cs="David" w:ascii="David" w:hAnsi="David"/>
        </w:rPr>
        <w:t>1963</w:t>
      </w:r>
      <w:r>
        <w:rPr>
          <w:rFonts w:cs="David" w:ascii="David" w:hAnsi="David"/>
          <w:rtl w:val="true"/>
        </w:rPr>
        <w:t xml:space="preserve"> (</w:t>
      </w:r>
      <w:r>
        <w:rPr>
          <w:rFonts w:ascii="David" w:hAnsi="David" w:cs="David"/>
          <w:rtl w:val="true"/>
        </w:rPr>
        <w:t>להלן</w:t>
      </w:r>
      <w:r>
        <w:rPr>
          <w:rFonts w:cs="David" w:ascii="David" w:hAnsi="David"/>
          <w:rtl w:val="true"/>
        </w:rPr>
        <w:t>: "</w:t>
      </w:r>
      <w:r>
        <w:rPr>
          <w:rFonts w:ascii="Miriam" w:hAnsi="Miriam" w:cs="Miriam"/>
          <w:rtl w:val="true"/>
        </w:rPr>
        <w:t>חוק מיסוי מקרקעין</w:t>
      </w:r>
      <w:r>
        <w:rPr>
          <w:rFonts w:cs="David" w:ascii="David" w:hAnsi="David"/>
          <w:rtl w:val="true"/>
        </w:rPr>
        <w:t xml:space="preserve">"), </w:t>
      </w:r>
      <w:r>
        <w:rPr>
          <w:rFonts w:ascii="David" w:hAnsi="David" w:cs="David"/>
          <w:rtl w:val="true"/>
        </w:rPr>
        <w:t xml:space="preserve">שעניינו קביעת </w:t>
      </w:r>
      <w:r>
        <w:rPr>
          <w:rFonts w:cs="David" w:ascii="David" w:hAnsi="David"/>
          <w:rtl w:val="true"/>
        </w:rPr>
        <w:t>"</w:t>
      </w:r>
      <w:r>
        <w:rPr>
          <w:rFonts w:ascii="David" w:hAnsi="David" w:cs="David"/>
          <w:rtl w:val="true"/>
        </w:rPr>
        <w:t>יום המכירה</w:t>
      </w:r>
      <w:r>
        <w:rPr>
          <w:rFonts w:cs="David" w:ascii="David" w:hAnsi="David"/>
          <w:rtl w:val="true"/>
        </w:rPr>
        <w:t xml:space="preserve">" </w:t>
      </w:r>
      <w:r>
        <w:rPr>
          <w:rFonts w:ascii="David" w:hAnsi="David" w:cs="David"/>
          <w:rtl w:val="true"/>
        </w:rPr>
        <w:t>בעסקת פינוי ובינוי</w:t>
      </w:r>
      <w:r>
        <w:rPr>
          <w:rFonts w:cs="David" w:ascii="David" w:hAnsi="David"/>
          <w:rtl w:val="true"/>
        </w:rPr>
        <w:t xml:space="preserve">. </w:t>
      </w:r>
      <w:r>
        <w:rPr>
          <w:rFonts w:ascii="David" w:hAnsi="David" w:cs="David"/>
          <w:rtl w:val="true"/>
        </w:rPr>
        <w:t>מקום שבו בעל יחידה מוכר ליזם את מלוא זכויותיו ביחידה בעסקה המותנית בתנאי מתלה</w:t>
      </w:r>
      <w:r>
        <w:rPr>
          <w:rFonts w:cs="David" w:ascii="David" w:hAnsi="David"/>
          <w:rtl w:val="true"/>
        </w:rPr>
        <w:t xml:space="preserve">, </w:t>
      </w:r>
      <w:r>
        <w:rPr>
          <w:rFonts w:ascii="David" w:hAnsi="David" w:cs="David"/>
          <w:rtl w:val="true"/>
        </w:rPr>
        <w:t>או מעניק לו אופציה לרכישתן</w:t>
      </w:r>
      <w:r>
        <w:rPr>
          <w:rFonts w:cs="David" w:ascii="David" w:hAnsi="David"/>
          <w:rtl w:val="true"/>
        </w:rPr>
        <w:t xml:space="preserve">, </w:t>
      </w:r>
      <w:r>
        <w:rPr>
          <w:rFonts w:ascii="David" w:hAnsi="David" w:cs="David"/>
          <w:rtl w:val="true"/>
        </w:rPr>
        <w:t>יום המכירה אינו בהכרח מועד כריתת ההסכם</w:t>
      </w:r>
      <w:r>
        <w:rPr>
          <w:rFonts w:cs="David" w:ascii="David" w:hAnsi="David"/>
          <w:rtl w:val="true"/>
        </w:rPr>
        <w:t xml:space="preserve">. </w:t>
      </w:r>
      <w:r>
        <w:rPr>
          <w:rFonts w:ascii="David" w:hAnsi="David" w:cs="David"/>
          <w:rtl w:val="true"/>
        </w:rPr>
        <w:t>בכפוף למסירת הודעה למנהל</w:t>
      </w:r>
      <w:r>
        <w:rPr>
          <w:rFonts w:cs="David" w:ascii="David" w:hAnsi="David"/>
          <w:rtl w:val="true"/>
        </w:rPr>
        <w:t xml:space="preserve">, </w:t>
      </w:r>
      <w:r>
        <w:rPr>
          <w:rFonts w:ascii="David" w:hAnsi="David" w:cs="David"/>
          <w:rtl w:val="true"/>
        </w:rPr>
        <w:t>כמשמעותו בחוק</w:t>
      </w:r>
      <w:r>
        <w:rPr>
          <w:rFonts w:cs="David" w:ascii="David" w:hAnsi="David"/>
          <w:rtl w:val="true"/>
        </w:rPr>
        <w:t xml:space="preserve">, </w:t>
      </w:r>
      <w:r>
        <w:rPr>
          <w:rFonts w:ascii="David" w:hAnsi="David" w:cs="David"/>
          <w:rtl w:val="true"/>
        </w:rPr>
        <w:t>יום המכירה יהיה המוקדם מבין המועדים שנקבעו בסעיף</w:t>
      </w:r>
      <w:r>
        <w:rPr>
          <w:rFonts w:cs="David" w:ascii="David" w:hAnsi="David"/>
          <w:rtl w:val="true"/>
        </w:rPr>
        <w:t xml:space="preserve">: </w:t>
      </w:r>
      <w:r>
        <w:rPr>
          <w:rFonts w:ascii="David" w:hAnsi="David" w:cs="David"/>
          <w:rtl w:val="true"/>
        </w:rPr>
        <w:t>מועד התקיימות התנאי המתלה</w:t>
      </w:r>
      <w:r>
        <w:rPr>
          <w:rFonts w:cs="David" w:ascii="David" w:hAnsi="David"/>
          <w:rtl w:val="true"/>
        </w:rPr>
        <w:t xml:space="preserve">; </w:t>
      </w:r>
      <w:r>
        <w:rPr>
          <w:rFonts w:ascii="David" w:hAnsi="David" w:cs="David"/>
          <w:rtl w:val="true"/>
        </w:rPr>
        <w:t>מועד מימוש האופציה</w:t>
      </w:r>
      <w:r>
        <w:rPr>
          <w:rFonts w:cs="David" w:ascii="David" w:hAnsi="David"/>
          <w:rtl w:val="true"/>
        </w:rPr>
        <w:t xml:space="preserve">; </w:t>
      </w:r>
      <w:r>
        <w:rPr>
          <w:rFonts w:ascii="David" w:hAnsi="David" w:cs="David"/>
          <w:rtl w:val="true"/>
        </w:rPr>
        <w:t>או מועד תחילת הבנייה בידי היזם או מי מטעמו בבניין שאליו מתייחס הסעיף</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הסדר זה משקף את הכרתו של המחוקק במבנה המדורג המאפיין מיזמי פינוי ובינוי</w:t>
      </w:r>
      <w:r>
        <w:rPr>
          <w:rFonts w:cs="David" w:ascii="David" w:hAnsi="David"/>
          <w:rtl w:val="true"/>
        </w:rPr>
        <w:t xml:space="preserve">, </w:t>
      </w:r>
      <w:r>
        <w:rPr>
          <w:rFonts w:ascii="David" w:hAnsi="David" w:cs="David"/>
          <w:rtl w:val="true"/>
        </w:rPr>
        <w:t>ובכך שההתקשרות החוזית עם בעלי הזכויות עשויה להקדים במידה ניכרת את הבשלת התנאים הנדרשים למימוש המיזם ולתחילת הבנייה בפועל</w:t>
      </w:r>
      <w:r>
        <w:rPr>
          <w:rFonts w:cs="David" w:ascii="David" w:hAnsi="David"/>
          <w:rtl w:val="true"/>
        </w:rPr>
        <w:t xml:space="preserve">. </w:t>
      </w:r>
      <w:r>
        <w:rPr>
          <w:rFonts w:ascii="David" w:hAnsi="David" w:cs="David"/>
          <w:rtl w:val="true"/>
        </w:rPr>
        <w:t>הסדר זה תומך בהשקפה שלפיה אין לראות בהתקשרות החוזית ובבנייה אירועים נפרדים ומנותקים</w:t>
      </w:r>
      <w:r>
        <w:rPr>
          <w:rFonts w:cs="David" w:ascii="David" w:hAnsi="David"/>
          <w:rtl w:val="true"/>
        </w:rPr>
        <w:t xml:space="preserve">, </w:t>
      </w:r>
      <w:r>
        <w:rPr>
          <w:rFonts w:ascii="David" w:hAnsi="David" w:cs="David"/>
          <w:rtl w:val="true"/>
        </w:rPr>
        <w:t>אלא שלבים שונים במהלך אחד</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ואכן</w:t>
      </w:r>
      <w:r>
        <w:rPr>
          <w:rFonts w:cs="David" w:ascii="David" w:hAnsi="David"/>
          <w:rtl w:val="true"/>
        </w:rPr>
        <w:t xml:space="preserve">, </w:t>
      </w:r>
      <w:hyperlink r:id="rId22">
        <w:r>
          <w:rPr>
            <w:rStyle w:val="Hyperlink"/>
            <w:rFonts w:ascii="David" w:hAnsi="David" w:cs="David"/>
            <w:rtl w:val="true"/>
          </w:rPr>
          <w:t xml:space="preserve">סעיף </w:t>
        </w:r>
        <w:r>
          <w:rPr>
            <w:rStyle w:val="Hyperlink"/>
            <w:rFonts w:cs="David" w:ascii="David" w:hAnsi="David"/>
          </w:rPr>
          <w:t>49</w:t>
        </w:r>
        <w:r>
          <w:rPr>
            <w:rStyle w:val="Hyperlink"/>
            <w:rFonts w:ascii="David" w:hAnsi="David" w:cs="David"/>
            <w:rtl w:val="true"/>
          </w:rPr>
          <w:t>כ</w:t>
        </w:r>
      </w:hyperlink>
      <w:r>
        <w:rPr>
          <w:rFonts w:ascii="David" w:hAnsi="David" w:cs="David"/>
          <w:rtl w:val="true"/>
        </w:rPr>
        <w:t xml:space="preserve"> מסדיר את עיתוי המכירה לצורכי מיסוי מקרקעין</w:t>
      </w:r>
      <w:r>
        <w:rPr>
          <w:rFonts w:cs="David" w:ascii="David" w:hAnsi="David"/>
          <w:rtl w:val="true"/>
        </w:rPr>
        <w:t xml:space="preserve">, </w:t>
      </w:r>
      <w:r>
        <w:rPr>
          <w:rFonts w:ascii="David" w:hAnsi="David" w:cs="David"/>
          <w:rtl w:val="true"/>
        </w:rPr>
        <w:t>ואין בו כדי לקבוע את מועד מימוש הזכויות לצורך היטל השבחה או להכריע</w:t>
      </w:r>
      <w:r>
        <w:rPr>
          <w:rFonts w:cs="David" w:ascii="David" w:hAnsi="David"/>
          <w:rtl w:val="true"/>
        </w:rPr>
        <w:t xml:space="preserve">, </w:t>
      </w:r>
      <w:r>
        <w:rPr>
          <w:rFonts w:ascii="David" w:hAnsi="David" w:cs="David"/>
          <w:rtl w:val="true"/>
        </w:rPr>
        <w:t>כשלעצמו</w:t>
      </w:r>
      <w:r>
        <w:rPr>
          <w:rFonts w:cs="David" w:ascii="David" w:hAnsi="David"/>
          <w:rtl w:val="true"/>
        </w:rPr>
        <w:t xml:space="preserve">, </w:t>
      </w:r>
      <w:r>
        <w:rPr>
          <w:rFonts w:ascii="David" w:hAnsi="David" w:cs="David"/>
          <w:rtl w:val="true"/>
        </w:rPr>
        <w:t>בשאלת הזכאות לפטור בגין הקמת מרחבים מוגנים</w:t>
      </w:r>
      <w:r>
        <w:rPr>
          <w:rFonts w:cs="David" w:ascii="David" w:hAnsi="David"/>
          <w:rtl w:val="true"/>
        </w:rPr>
        <w:t xml:space="preserve">. </w:t>
      </w:r>
      <w:r>
        <w:rPr>
          <w:rFonts w:ascii="David" w:hAnsi="David" w:cs="David"/>
          <w:rtl w:val="true"/>
        </w:rPr>
        <w:t>ואולם</w:t>
      </w:r>
      <w:r>
        <w:rPr>
          <w:rFonts w:cs="David" w:ascii="David" w:hAnsi="David"/>
          <w:rtl w:val="true"/>
        </w:rPr>
        <w:t xml:space="preserve">, </w:t>
      </w:r>
      <w:r>
        <w:rPr>
          <w:rFonts w:ascii="David" w:hAnsi="David" w:cs="David"/>
          <w:rtl w:val="true"/>
        </w:rPr>
        <w:t>יש בו כדי ללמד כי אף מנקודת מבט פיסקאלית</w:t>
      </w:r>
      <w:r>
        <w:rPr>
          <w:rFonts w:cs="David" w:ascii="David" w:hAnsi="David"/>
          <w:rtl w:val="true"/>
        </w:rPr>
        <w:t xml:space="preserve">, </w:t>
      </w:r>
      <w:r>
        <w:rPr>
          <w:rFonts w:ascii="David" w:hAnsi="David" w:cs="David"/>
          <w:rtl w:val="true"/>
        </w:rPr>
        <w:t>ההתייחסות למיזם פינוי ובינוי אינה בינארית</w:t>
      </w:r>
      <w:r>
        <w:rPr>
          <w:rFonts w:cs="David" w:ascii="David" w:hAnsi="David"/>
          <w:rtl w:val="true"/>
        </w:rPr>
        <w:t xml:space="preserve">, </w:t>
      </w:r>
      <w:r>
        <w:rPr>
          <w:rFonts w:ascii="David" w:hAnsi="David" w:cs="David"/>
          <w:rtl w:val="true"/>
        </w:rPr>
        <w:t xml:space="preserve">כאילו יש לבחור בין </w:t>
      </w:r>
      <w:r>
        <w:rPr>
          <w:rFonts w:cs="David" w:ascii="David" w:hAnsi="David"/>
          <w:rtl w:val="true"/>
        </w:rPr>
        <w:t>"</w:t>
      </w:r>
      <w:r>
        <w:rPr>
          <w:rFonts w:ascii="David" w:hAnsi="David" w:cs="David"/>
          <w:rtl w:val="true"/>
        </w:rPr>
        <w:t>מכר</w:t>
      </w:r>
      <w:r>
        <w:rPr>
          <w:rFonts w:cs="David" w:ascii="David" w:hAnsi="David"/>
          <w:rtl w:val="true"/>
        </w:rPr>
        <w:t xml:space="preserve">" </w:t>
      </w:r>
      <w:r>
        <w:rPr>
          <w:rFonts w:ascii="David" w:hAnsi="David" w:cs="David"/>
          <w:rtl w:val="true"/>
        </w:rPr>
        <w:t xml:space="preserve">לבין </w:t>
      </w:r>
      <w:r>
        <w:rPr>
          <w:rFonts w:cs="David" w:ascii="David" w:hAnsi="David"/>
          <w:rtl w:val="true"/>
        </w:rPr>
        <w:t>"</w:t>
      </w:r>
      <w:r>
        <w:rPr>
          <w:rFonts w:ascii="David" w:hAnsi="David" w:cs="David"/>
          <w:rtl w:val="true"/>
        </w:rPr>
        <w:t>בנייה</w:t>
      </w:r>
      <w:r>
        <w:rPr>
          <w:rFonts w:cs="David" w:ascii="David" w:hAnsi="David"/>
          <w:rtl w:val="true"/>
        </w:rPr>
        <w:t xml:space="preserve">" </w:t>
      </w:r>
      <w:r>
        <w:rPr>
          <w:rFonts w:ascii="David" w:hAnsi="David" w:cs="David"/>
          <w:rtl w:val="true"/>
        </w:rPr>
        <w:t>כאירועים נפרדים ומנותקים</w:t>
      </w:r>
      <w:r>
        <w:rPr>
          <w:rFonts w:cs="David" w:ascii="David" w:hAnsi="David"/>
          <w:rtl w:val="true"/>
        </w:rPr>
        <w:t xml:space="preserve">. </w:t>
      </w:r>
      <w:r>
        <w:rPr>
          <w:rFonts w:ascii="David" w:hAnsi="David" w:cs="David"/>
          <w:rtl w:val="true"/>
        </w:rPr>
        <w:t>נקודת המוצא המשתקפת מן ההסדר היא כי מדובר בתהליך מדורג</w:t>
      </w:r>
      <w:r>
        <w:rPr>
          <w:rFonts w:cs="David" w:ascii="David" w:hAnsi="David"/>
          <w:rtl w:val="true"/>
        </w:rPr>
        <w:t xml:space="preserve">, </w:t>
      </w:r>
      <w:r>
        <w:rPr>
          <w:rFonts w:ascii="David" w:hAnsi="David" w:cs="David"/>
          <w:rtl w:val="true"/>
        </w:rPr>
        <w:t>שרכיביו השונים שלובים זה בזה ומצטרפים לכדי מהלך כלכלי ותכנוני אחד</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היבט משלים מצוי בנייר עמדה מקצועי מיסוי מקרקעין מס׳ </w:t>
      </w:r>
      <w:r>
        <w:rPr>
          <w:rFonts w:cs="David" w:ascii="David" w:hAnsi="David"/>
        </w:rPr>
        <w:t>06/26</w:t>
      </w:r>
      <w:r>
        <w:rPr>
          <w:rFonts w:cs="David" w:ascii="David" w:hAnsi="David"/>
          <w:rtl w:val="true"/>
        </w:rPr>
        <w:t xml:space="preserve"> </w:t>
      </w:r>
      <w:r>
        <w:rPr>
          <w:rFonts w:ascii="David" w:hAnsi="David" w:cs="David"/>
          <w:rtl w:val="true"/>
        </w:rPr>
        <w:t xml:space="preserve">של רשות המסים </w:t>
      </w:r>
      <w:r>
        <w:rPr>
          <w:rFonts w:cs="David" w:ascii="David" w:hAnsi="David"/>
          <w:rtl w:val="true"/>
        </w:rPr>
        <w:t>(</w:t>
      </w:r>
      <w:r>
        <w:rPr>
          <w:rFonts w:ascii="David" w:hAnsi="David" w:cs="David"/>
          <w:rtl w:val="true"/>
        </w:rPr>
        <w:t xml:space="preserve">פרסום בחודש יולי </w:t>
      </w:r>
      <w:r>
        <w:rPr>
          <w:rFonts w:cs="David" w:ascii="David" w:hAnsi="David"/>
        </w:rPr>
        <w:t>2026</w:t>
      </w:r>
      <w:r>
        <w:rPr>
          <w:rFonts w:cs="David" w:ascii="David" w:hAnsi="David"/>
          <w:rtl w:val="true"/>
        </w:rPr>
        <w:t xml:space="preserve">). </w:t>
      </w:r>
      <w:r>
        <w:rPr>
          <w:rFonts w:ascii="David" w:hAnsi="David" w:cs="David"/>
          <w:rtl w:val="true"/>
        </w:rPr>
        <w:t>עניינו ב</w:t>
      </w:r>
      <w:hyperlink r:id="rId23">
        <w:r>
          <w:rPr>
            <w:rStyle w:val="Hyperlink"/>
            <w:rFonts w:ascii="David" w:hAnsi="David" w:cs="David"/>
            <w:rtl w:val="true"/>
          </w:rPr>
          <w:t xml:space="preserve">סעיף </w:t>
        </w:r>
        <w:r>
          <w:rPr>
            <w:rStyle w:val="Hyperlink"/>
            <w:rFonts w:cs="David" w:ascii="David" w:hAnsi="David"/>
          </w:rPr>
          <w:t>19</w:t>
        </w:r>
        <w:r>
          <w:rPr>
            <w:rStyle w:val="Hyperlink"/>
            <w:rFonts w:cs="David" w:ascii="David" w:hAnsi="David"/>
            <w:rtl w:val="true"/>
          </w:rPr>
          <w:t>(</w:t>
        </w:r>
        <w:r>
          <w:rPr>
            <w:rStyle w:val="Hyperlink"/>
            <w:rFonts w:cs="David" w:ascii="David" w:hAnsi="David"/>
          </w:rPr>
          <w:t>3</w:t>
        </w:r>
        <w:r>
          <w:rPr>
            <w:rStyle w:val="Hyperlink"/>
            <w:rFonts w:ascii="David" w:hAnsi="David" w:cs="David"/>
            <w:rtl w:val="true"/>
          </w:rPr>
          <w:t>א</w:t>
        </w:r>
        <w:r>
          <w:rPr>
            <w:rStyle w:val="Hyperlink"/>
            <w:rFonts w:cs="David" w:ascii="David" w:hAnsi="David"/>
            <w:rtl w:val="true"/>
          </w:rPr>
          <w:t>)</w:t>
        </w:r>
      </w:hyperlink>
      <w:r>
        <w:rPr>
          <w:rFonts w:cs="David" w:ascii="David" w:hAnsi="David"/>
          <w:rtl w:val="true"/>
        </w:rPr>
        <w:t xml:space="preserve"> </w:t>
      </w:r>
      <w:r>
        <w:rPr>
          <w:rFonts w:ascii="David" w:hAnsi="David" w:cs="David"/>
          <w:rtl w:val="true"/>
        </w:rPr>
        <w:t>ל</w:t>
      </w:r>
      <w:hyperlink r:id="rId24">
        <w:r>
          <w:rPr>
            <w:rStyle w:val="Hyperlink"/>
            <w:rFonts w:ascii="David" w:hAnsi="David" w:cs="David"/>
            <w:color w:val="0000FF"/>
            <w:u w:val="single"/>
            <w:rtl w:val="true"/>
          </w:rPr>
          <w:t>חוק מיסוי מקרקעין</w:t>
        </w:r>
      </w:hyperlink>
      <w:r>
        <w:rPr>
          <w:rFonts w:cs="David" w:ascii="David" w:hAnsi="David"/>
          <w:rtl w:val="true"/>
        </w:rPr>
        <w:t xml:space="preserve">, </w:t>
      </w:r>
      <w:r>
        <w:rPr>
          <w:rFonts w:ascii="David" w:hAnsi="David" w:cs="David"/>
          <w:rtl w:val="true"/>
        </w:rPr>
        <w:t>הדוחה את יום המכירה ליום אישור התוכנית בעסקה המותנית בהגדלת אפשרויות הניצול התכנוניות</w:t>
      </w:r>
      <w:r>
        <w:rPr>
          <w:rFonts w:cs="David" w:ascii="David" w:hAnsi="David"/>
          <w:rtl w:val="true"/>
        </w:rPr>
        <w:t xml:space="preserve">, </w:t>
      </w:r>
      <w:r>
        <w:rPr>
          <w:rFonts w:ascii="David" w:hAnsi="David" w:cs="David"/>
          <w:rtl w:val="true"/>
        </w:rPr>
        <w:t>שהתמורה בה מושפעת מהגדלה זו וכולה אינה בכסף</w:t>
      </w:r>
      <w:r>
        <w:rPr>
          <w:rFonts w:cs="David" w:ascii="David" w:hAnsi="David"/>
          <w:rtl w:val="true"/>
        </w:rPr>
        <w:t xml:space="preserve">. </w:t>
      </w:r>
      <w:r>
        <w:rPr>
          <w:rFonts w:ascii="David" w:hAnsi="David" w:cs="David"/>
          <w:rtl w:val="true"/>
        </w:rPr>
        <w:t>רשות המסים הבהירה כי ההסדר חל גם בעסקאות לקבלת שירותי בנייה שבהן הרוכש נוטל על עצמו חבויות מס</w:t>
      </w:r>
      <w:r>
        <w:rPr>
          <w:rFonts w:cs="David" w:ascii="David" w:hAnsi="David"/>
          <w:rtl w:val="true"/>
        </w:rPr>
        <w:t xml:space="preserve">, </w:t>
      </w:r>
      <w:r>
        <w:rPr>
          <w:rFonts w:ascii="David" w:hAnsi="David" w:cs="David"/>
          <w:rtl w:val="true"/>
        </w:rPr>
        <w:t xml:space="preserve">היטלים ואגרות המוטלים על המוכר בקשר לעסקה </w:t>
      </w:r>
      <w:r>
        <w:rPr>
          <w:rFonts w:cs="David" w:ascii="David" w:hAnsi="David"/>
          <w:rtl w:val="true"/>
        </w:rPr>
        <w:t>(</w:t>
      </w:r>
      <w:r>
        <w:rPr>
          <w:rFonts w:ascii="David" w:hAnsi="David" w:cs="David"/>
          <w:rtl w:val="true"/>
        </w:rPr>
        <w:t>עסקאות המכונות ״עסקאות נטו״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לענייננו</w:t>
      </w:r>
      <w:r>
        <w:rPr>
          <w:rFonts w:cs="David" w:ascii="David" w:hAnsi="David"/>
          <w:rtl w:val="true"/>
        </w:rPr>
        <w:t xml:space="preserve">, </w:t>
      </w:r>
      <w:r>
        <w:rPr>
          <w:rFonts w:ascii="David" w:hAnsi="David" w:cs="David"/>
          <w:rtl w:val="true"/>
        </w:rPr>
        <w:t>ניתן לראות בעמדה זו המחשה לבחינת רכיביה של עסקה מתוך הקשרם הכולל</w:t>
      </w:r>
      <w:r>
        <w:rPr>
          <w:rFonts w:cs="David" w:ascii="David" w:hAnsi="David"/>
          <w:rtl w:val="true"/>
        </w:rPr>
        <w:t xml:space="preserve">. </w:t>
      </w:r>
      <w:r>
        <w:rPr>
          <w:rFonts w:ascii="David" w:hAnsi="David" w:cs="David"/>
          <w:rtl w:val="true"/>
        </w:rPr>
        <w:t>נטילת חיובים כספיים של המוכר בידי הרוכש אינה מוציאה</w:t>
      </w:r>
      <w:r>
        <w:rPr>
          <w:rFonts w:cs="David" w:ascii="David" w:hAnsi="David"/>
          <w:rtl w:val="true"/>
        </w:rPr>
        <w:t xml:space="preserve">, </w:t>
      </w:r>
      <w:r>
        <w:rPr>
          <w:rFonts w:ascii="David" w:hAnsi="David" w:cs="David"/>
          <w:rtl w:val="true"/>
        </w:rPr>
        <w:t>לפי העמדה</w:t>
      </w:r>
      <w:r>
        <w:rPr>
          <w:rFonts w:cs="David" w:ascii="David" w:hAnsi="David"/>
          <w:rtl w:val="true"/>
        </w:rPr>
        <w:t xml:space="preserve">, </w:t>
      </w:r>
      <w:r>
        <w:rPr>
          <w:rFonts w:ascii="David" w:hAnsi="David" w:cs="David"/>
          <w:rtl w:val="true"/>
        </w:rPr>
        <w:t>את העסקה מגדר ההסדר המיועד לתמורה שאינה בכסף</w:t>
      </w:r>
      <w:r>
        <w:rPr>
          <w:rFonts w:cs="David" w:ascii="David" w:hAnsi="David"/>
          <w:rtl w:val="true"/>
        </w:rPr>
        <w:t xml:space="preserve">. </w:t>
      </w:r>
      <w:r>
        <w:rPr>
          <w:rFonts w:ascii="David" w:hAnsi="David" w:cs="David"/>
          <w:rtl w:val="true"/>
        </w:rPr>
        <w:t>ניתן ללמוד מכך</w:t>
      </w:r>
      <w:r>
        <w:rPr>
          <w:rFonts w:cs="David" w:ascii="David" w:hAnsi="David"/>
          <w:rtl w:val="true"/>
        </w:rPr>
        <w:t xml:space="preserve">, </w:t>
      </w:r>
      <w:r>
        <w:rPr>
          <w:rFonts w:ascii="David" w:hAnsi="David" w:cs="David"/>
          <w:rtl w:val="true"/>
        </w:rPr>
        <w:t>על דרך ההיקש בלבד</w:t>
      </w:r>
      <w:r>
        <w:rPr>
          <w:rFonts w:cs="David" w:ascii="David" w:hAnsi="David"/>
          <w:rtl w:val="true"/>
        </w:rPr>
        <w:t xml:space="preserve">, </w:t>
      </w:r>
      <w:r>
        <w:rPr>
          <w:rFonts w:ascii="David" w:hAnsi="David" w:cs="David"/>
          <w:rtl w:val="true"/>
        </w:rPr>
        <w:t>כי זיהויו של רכיב משפטי מסוים בתוך עסקה מורכבת אינו ממצה את בחינת משמעותו לצורך הסדר מס ייחודי</w:t>
      </w:r>
      <w:r>
        <w:rPr>
          <w:rFonts w:cs="David" w:ascii="David" w:hAnsi="David"/>
          <w:rtl w:val="true"/>
        </w:rPr>
        <w:t xml:space="preserve">, </w:t>
      </w:r>
      <w:r>
        <w:rPr>
          <w:rFonts w:ascii="David" w:hAnsi="David" w:cs="David"/>
          <w:rtl w:val="true"/>
        </w:rPr>
        <w:t>ויש לבחון גם את תפקידו במכלול ואת תכלית ההוראה המיושמת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בדומה ל</w:t>
      </w:r>
      <w:hyperlink r:id="rId25">
        <w:r>
          <w:rPr>
            <w:rStyle w:val="Hyperlink"/>
            <w:rFonts w:ascii="David" w:hAnsi="David" w:cs="David"/>
            <w:rtl w:val="true"/>
          </w:rPr>
          <w:t xml:space="preserve">סעיף </w:t>
        </w:r>
        <w:r>
          <w:rPr>
            <w:rStyle w:val="Hyperlink"/>
            <w:rFonts w:cs="David" w:ascii="David" w:hAnsi="David"/>
          </w:rPr>
          <w:t>49</w:t>
        </w:r>
        <w:r>
          <w:rPr>
            <w:rStyle w:val="Hyperlink"/>
            <w:rFonts w:ascii="David" w:hAnsi="David" w:cs="David"/>
            <w:rtl w:val="true"/>
          </w:rPr>
          <w:t>כ</w:t>
        </w:r>
      </w:hyperlink>
      <w:r>
        <w:rPr>
          <w:rFonts w:ascii="David" w:hAnsi="David" w:cs="David"/>
          <w:rtl w:val="true"/>
        </w:rPr>
        <w:t xml:space="preserve"> הנ</w:t>
      </w:r>
      <w:r>
        <w:rPr>
          <w:rFonts w:cs="David" w:ascii="David" w:hAnsi="David"/>
          <w:rtl w:val="true"/>
        </w:rPr>
        <w:t>"</w:t>
      </w:r>
      <w:r>
        <w:rPr>
          <w:rFonts w:ascii="David" w:hAnsi="David" w:cs="David"/>
          <w:rtl w:val="true"/>
        </w:rPr>
        <w:t>ל</w:t>
      </w:r>
      <w:r>
        <w:rPr>
          <w:rFonts w:cs="David" w:ascii="David" w:hAnsi="David"/>
          <w:rtl w:val="true"/>
        </w:rPr>
        <w:t xml:space="preserve">, </w:t>
      </w:r>
      <w:r>
        <w:rPr>
          <w:rFonts w:ascii="David" w:hAnsi="David" w:cs="David"/>
          <w:rtl w:val="true"/>
        </w:rPr>
        <w:t>אין בעמדה זו כדי לקבוע את מועד המימוש לצורכי היטל השבחה או להכריע בתחולת הפטור למרחבים מוגנים</w:t>
      </w:r>
      <w:r>
        <w:rPr>
          <w:rFonts w:cs="David" w:ascii="David" w:hAnsi="David"/>
          <w:rtl w:val="true"/>
        </w:rPr>
        <w:t xml:space="preserve">. </w:t>
      </w:r>
      <w:r>
        <w:rPr>
          <w:rFonts w:ascii="David" w:hAnsi="David" w:cs="David"/>
          <w:rtl w:val="true"/>
        </w:rPr>
        <w:t>תרומתה מצומצמת יותר והיא מדגימה גישה שלפיה יש לפרש את התנאים להסדר מס בהתחשב במבנה העסקה ובזיקה שבין רכיביה</w:t>
      </w:r>
      <w:r>
        <w:rPr>
          <w:rFonts w:cs="David" w:ascii="David" w:hAnsi="David"/>
          <w:rtl w:val="true"/>
        </w:rPr>
        <w:t xml:space="preserve">. </w:t>
      </w:r>
      <w:r>
        <w:rPr>
          <w:rFonts w:ascii="David" w:hAnsi="David" w:cs="David"/>
          <w:rtl w:val="true"/>
        </w:rPr>
        <w:t>ברוח זו</w:t>
      </w:r>
      <w:r>
        <w:rPr>
          <w:rFonts w:cs="David" w:ascii="David" w:hAnsi="David"/>
          <w:rtl w:val="true"/>
        </w:rPr>
        <w:t xml:space="preserve">, </w:t>
      </w:r>
      <w:r>
        <w:rPr>
          <w:rFonts w:ascii="David" w:hAnsi="David" w:cs="David"/>
          <w:rtl w:val="true"/>
        </w:rPr>
        <w:t>עמדתנו היא שגם זיהויו של מימוש במכר אינו פוטר מהבחינה הנפרדת אם רכיב ההשבחה הנוגע למרחבים המוגנים מקיים את הזיקה לבנייה הנדרשת בסעיף הפטור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יתרה מזו</w:t>
      </w:r>
      <w:r>
        <w:rPr>
          <w:rFonts w:cs="David" w:ascii="David" w:hAnsi="David"/>
          <w:rtl w:val="true"/>
        </w:rPr>
        <w:t xml:space="preserve">, </w:t>
      </w:r>
      <w:r>
        <w:rPr>
          <w:rFonts w:ascii="David" w:hAnsi="David" w:cs="David"/>
          <w:rtl w:val="true"/>
        </w:rPr>
        <w:t>ספק בעינינו אם יש הצדקה להבחנה המבוססת על מועד כריתתו של הסכם המכר</w:t>
      </w:r>
      <w:r>
        <w:rPr>
          <w:rFonts w:cs="David" w:ascii="David" w:hAnsi="David"/>
          <w:rtl w:val="true"/>
        </w:rPr>
        <w:t xml:space="preserve">. </w:t>
      </w:r>
      <w:r>
        <w:rPr>
          <w:rFonts w:ascii="David" w:hAnsi="David" w:cs="David"/>
          <w:rtl w:val="true"/>
        </w:rPr>
        <w:t>מועד ההתקשרות בין היזם לבין בעלי הזכויות אינו אלא נקודת זמן על ציר התקדמותו של המיזם</w:t>
      </w:r>
      <w:r>
        <w:rPr>
          <w:rFonts w:cs="David" w:ascii="David" w:hAnsi="David"/>
          <w:rtl w:val="true"/>
        </w:rPr>
        <w:t xml:space="preserve">, </w:t>
      </w:r>
      <w:r>
        <w:rPr>
          <w:rFonts w:ascii="David" w:hAnsi="David" w:cs="David"/>
          <w:rtl w:val="true"/>
        </w:rPr>
        <w:t>וקשה לראות מדוע דווקא בו יש לתלות את גורלו של הפטור</w:t>
      </w:r>
      <w:r>
        <w:rPr>
          <w:rFonts w:cs="David" w:ascii="David" w:hAnsi="David"/>
          <w:rtl w:val="true"/>
        </w:rPr>
        <w:t xml:space="preserve">. </w:t>
      </w:r>
      <w:r>
        <w:rPr>
          <w:rFonts w:ascii="David" w:hAnsi="David" w:cs="David"/>
          <w:rtl w:val="true"/>
        </w:rPr>
        <w:t>הדברים מקבלים משנה תוקף מקום שבו עסקינן במיזמים מורכבים</w:t>
      </w:r>
      <w:r>
        <w:rPr>
          <w:rFonts w:cs="David" w:ascii="David" w:hAnsi="David"/>
          <w:rtl w:val="true"/>
        </w:rPr>
        <w:t xml:space="preserve">, </w:t>
      </w:r>
      <w:r>
        <w:rPr>
          <w:rFonts w:ascii="David" w:hAnsi="David" w:cs="David"/>
          <w:rtl w:val="true"/>
        </w:rPr>
        <w:t>אשר מטבעם מתגבשים ומתממשים בשלבים</w:t>
      </w:r>
      <w:r>
        <w:rPr>
          <w:rFonts w:cs="David" w:ascii="David" w:hAnsi="David"/>
          <w:rtl w:val="true"/>
        </w:rPr>
        <w:t xml:space="preserve">. </w:t>
      </w:r>
      <w:r>
        <w:rPr>
          <w:rFonts w:ascii="David" w:hAnsi="David" w:cs="David"/>
          <w:rtl w:val="true"/>
        </w:rPr>
        <w:t>וכי מה בין הסכם שנכרת ערב אישורה של התוכנית לבין הסכם שנכרת למחרת אישורה</w:t>
      </w:r>
      <w:r>
        <w:rPr>
          <w:rFonts w:cs="David" w:ascii="David" w:hAnsi="David"/>
          <w:rtl w:val="true"/>
        </w:rPr>
        <w:t xml:space="preserve">, </w:t>
      </w:r>
      <w:r>
        <w:rPr>
          <w:rFonts w:ascii="David" w:hAnsi="David" w:cs="David"/>
          <w:rtl w:val="true"/>
        </w:rPr>
        <w:t>ככל שבשני המקרים מוביל המהלך להקמתו של מרחב מוגן</w:t>
      </w:r>
      <w:r>
        <w:rPr>
          <w:rFonts w:cs="David" w:ascii="David" w:hAnsi="David"/>
          <w:rtl w:val="true"/>
        </w:rPr>
        <w:t xml:space="preserve">? </w:t>
      </w:r>
      <w:r>
        <w:rPr>
          <w:rFonts w:ascii="David" w:hAnsi="David" w:cs="David"/>
          <w:rtl w:val="true"/>
        </w:rPr>
        <w:t>האם בראשון נגרע דבר מה מהתכלית שלשמה נקבע הפטור</w:t>
      </w:r>
      <w:r>
        <w:rPr>
          <w:rFonts w:cs="David" w:ascii="David" w:hAnsi="David"/>
          <w:rtl w:val="true"/>
        </w:rPr>
        <w:t xml:space="preserve">? </w:t>
      </w:r>
      <w:r>
        <w:rPr>
          <w:rFonts w:ascii="David" w:hAnsi="David" w:cs="David"/>
          <w:rtl w:val="true"/>
        </w:rPr>
        <w:t>לטעמנו</w:t>
      </w:r>
      <w:r>
        <w:rPr>
          <w:rFonts w:cs="David" w:ascii="David" w:hAnsi="David"/>
          <w:rtl w:val="true"/>
        </w:rPr>
        <w:t xml:space="preserve">, </w:t>
      </w:r>
      <w:r>
        <w:rPr>
          <w:rFonts w:ascii="David" w:hAnsi="David" w:cs="David"/>
          <w:rtl w:val="true"/>
        </w:rPr>
        <w:t>התשובה לכך שלילית</w:t>
      </w:r>
      <w:r>
        <w:rPr>
          <w:rFonts w:cs="David" w:ascii="David" w:hAnsi="David"/>
          <w:rtl w:val="true"/>
        </w:rPr>
        <w:t xml:space="preserve">. </w:t>
      </w:r>
      <w:r>
        <w:rPr>
          <w:rFonts w:ascii="David" w:hAnsi="David" w:cs="David"/>
          <w:rtl w:val="true"/>
        </w:rPr>
        <w:t>הבחנה מעין זו מייחסת משקל מכריע לנתון כרונולוגי</w:t>
      </w:r>
      <w:r>
        <w:rPr>
          <w:rFonts w:cs="David" w:ascii="David" w:hAnsi="David"/>
          <w:rtl w:val="true"/>
        </w:rPr>
        <w:t xml:space="preserve">, </w:t>
      </w:r>
      <w:r>
        <w:rPr>
          <w:rFonts w:ascii="David" w:hAnsi="David" w:cs="David"/>
          <w:rtl w:val="true"/>
        </w:rPr>
        <w:t>שעה שהזיקה בינו לבין תכליתו של הפטור אינה ברורה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תכליתו של הפטור אינה לתמרץ את הצדדים לבחור בעיתוי מסוים לחתימה על הסכם</w:t>
      </w:r>
      <w:r>
        <w:rPr>
          <w:rFonts w:cs="David" w:ascii="David" w:hAnsi="David"/>
          <w:rtl w:val="true"/>
        </w:rPr>
        <w:t xml:space="preserve">, </w:t>
      </w:r>
      <w:r>
        <w:rPr>
          <w:rFonts w:ascii="David" w:hAnsi="David" w:cs="David"/>
          <w:rtl w:val="true"/>
        </w:rPr>
        <w:t>אלא להביא להקמתם בפועל של מרחבים מוגנים</w:t>
      </w:r>
      <w:r>
        <w:rPr>
          <w:rFonts w:cs="David" w:ascii="David" w:hAnsi="David"/>
          <w:rtl w:val="true"/>
        </w:rPr>
        <w:t xml:space="preserve">. </w:t>
      </w:r>
      <w:r>
        <w:rPr>
          <w:rFonts w:ascii="David" w:hAnsi="David" w:cs="David"/>
          <w:rtl w:val="true"/>
        </w:rPr>
        <w:t>מנקודת מבטה של תכלית זו</w:t>
      </w:r>
      <w:r>
        <w:rPr>
          <w:rFonts w:cs="David" w:ascii="David" w:hAnsi="David"/>
          <w:rtl w:val="true"/>
        </w:rPr>
        <w:t xml:space="preserve">, </w:t>
      </w:r>
      <w:r>
        <w:rPr>
          <w:rFonts w:ascii="David" w:hAnsi="David" w:cs="David"/>
          <w:rtl w:val="true"/>
        </w:rPr>
        <w:t>השאלה אם ההסכם נחתם לפני אישור התוכנית או לאחר כניסתה לתוקף אינה אלא נתון כרונולוגי</w:t>
      </w:r>
      <w:r>
        <w:rPr>
          <w:rFonts w:cs="David" w:ascii="David" w:hAnsi="David"/>
          <w:rtl w:val="true"/>
        </w:rPr>
        <w:t xml:space="preserve">, </w:t>
      </w:r>
      <w:r>
        <w:rPr>
          <w:rFonts w:ascii="David" w:hAnsi="David" w:cs="David"/>
          <w:rtl w:val="true"/>
        </w:rPr>
        <w:t>שאין לייחס לו משמעות שאינה טבועה בו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הדברים ברורים אף יותר כאשר ההסכם מותנה בקבלת היתר בנייה</w:t>
      </w:r>
      <w:r>
        <w:rPr>
          <w:rFonts w:cs="David" w:ascii="David" w:hAnsi="David"/>
          <w:rtl w:val="true"/>
        </w:rPr>
        <w:t xml:space="preserve">. </w:t>
      </w:r>
      <w:r>
        <w:rPr>
          <w:rFonts w:ascii="David" w:hAnsi="David" w:cs="David"/>
          <w:rtl w:val="true"/>
        </w:rPr>
        <w:t>במקרה כזה</w:t>
      </w:r>
      <w:r>
        <w:rPr>
          <w:rFonts w:cs="David" w:ascii="David" w:hAnsi="David"/>
          <w:rtl w:val="true"/>
        </w:rPr>
        <w:t xml:space="preserve">, </w:t>
      </w:r>
      <w:r>
        <w:rPr>
          <w:rFonts w:ascii="David" w:hAnsi="David" w:cs="David"/>
          <w:rtl w:val="true"/>
        </w:rPr>
        <w:t>ההתקשרות אינה עומדת לעצמה</w:t>
      </w:r>
      <w:r>
        <w:rPr>
          <w:rFonts w:cs="David" w:ascii="David" w:hAnsi="David"/>
          <w:rtl w:val="true"/>
        </w:rPr>
        <w:t xml:space="preserve">, </w:t>
      </w:r>
      <w:r>
        <w:rPr>
          <w:rFonts w:ascii="David" w:hAnsi="David" w:cs="David"/>
          <w:rtl w:val="true"/>
        </w:rPr>
        <w:t>אלא משמשת חוליה במהלך שמטרתו המעשית היא מימוש המיזם והוצאת הבנייה מן הכוח אל הפועל</w:t>
      </w:r>
      <w:r>
        <w:rPr>
          <w:rFonts w:cs="David" w:ascii="David" w:hAnsi="David"/>
          <w:rtl w:val="true"/>
        </w:rPr>
        <w:t xml:space="preserve">. </w:t>
      </w:r>
      <w:r>
        <w:rPr>
          <w:rFonts w:ascii="David" w:hAnsi="David" w:cs="David"/>
          <w:rtl w:val="true"/>
        </w:rPr>
        <w:t>העובדה שחוליה זו קדמה לאישור התוכנית אינה משנה את טיבה</w:t>
      </w:r>
      <w:r>
        <w:rPr>
          <w:rFonts w:cs="David" w:ascii="David" w:hAnsi="David"/>
          <w:rtl w:val="true"/>
        </w:rPr>
        <w:t xml:space="preserve">, </w:t>
      </w:r>
      <w:r>
        <w:rPr>
          <w:rFonts w:ascii="David" w:hAnsi="David" w:cs="David"/>
          <w:rtl w:val="true"/>
        </w:rPr>
        <w:t>כשם שהעברתה לצדו האחר של קו הזמן התכנוני אינה משנה את תכליתה</w:t>
      </w:r>
      <w:r>
        <w:rPr>
          <w:rFonts w:cs="David" w:ascii="David" w:hAnsi="David"/>
          <w:rtl w:val="true"/>
        </w:rPr>
        <w:t xml:space="preserve">. </w:t>
      </w:r>
      <w:r>
        <w:rPr>
          <w:rFonts w:ascii="David" w:hAnsi="David" w:cs="David"/>
          <w:rtl w:val="true"/>
        </w:rPr>
        <w:t>הדין</w:t>
      </w:r>
      <w:r>
        <w:rPr>
          <w:rFonts w:cs="David" w:ascii="David" w:hAnsi="David"/>
          <w:rtl w:val="true"/>
        </w:rPr>
        <w:t xml:space="preserve">, </w:t>
      </w:r>
      <w:r>
        <w:rPr>
          <w:rFonts w:ascii="David" w:hAnsi="David" w:cs="David"/>
          <w:rtl w:val="true"/>
        </w:rPr>
        <w:t>מטבע הדברים</w:t>
      </w:r>
      <w:r>
        <w:rPr>
          <w:rFonts w:cs="David" w:ascii="David" w:hAnsi="David"/>
          <w:rtl w:val="true"/>
        </w:rPr>
        <w:t xml:space="preserve">, </w:t>
      </w:r>
      <w:r>
        <w:rPr>
          <w:rFonts w:ascii="David" w:hAnsi="David" w:cs="David"/>
          <w:rtl w:val="true"/>
        </w:rPr>
        <w:t>נדרש למהות המהלך ולא למקריות שבלוח השנה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משכך</w:t>
      </w:r>
      <w:r>
        <w:rPr>
          <w:rFonts w:cs="David" w:ascii="David" w:hAnsi="David"/>
          <w:rtl w:val="true"/>
        </w:rPr>
        <w:t xml:space="preserve">, </w:t>
      </w:r>
      <w:r>
        <w:rPr>
          <w:rFonts w:ascii="David" w:hAnsi="David" w:cs="David"/>
          <w:rtl w:val="true"/>
        </w:rPr>
        <w:t>איננו סבורים כי יש הצדקה להעמיד את הזכאות לפטור על הבחנה כרונולוגית שאינה משרתת את תכליתו</w:t>
      </w:r>
      <w:r>
        <w:rPr>
          <w:rFonts w:cs="David" w:ascii="David" w:hAnsi="David"/>
          <w:rtl w:val="true"/>
        </w:rPr>
        <w:t xml:space="preserve">. </w:t>
      </w:r>
      <w:r>
        <w:rPr>
          <w:rFonts w:ascii="David" w:hAnsi="David" w:cs="David"/>
          <w:rtl w:val="true"/>
        </w:rPr>
        <w:t>יש לבחון את ההתקשרות כחלק מהמהלך התכנוני והחוזי הכולל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בענייננו</w:t>
      </w:r>
      <w:r>
        <w:rPr>
          <w:rFonts w:cs="David" w:ascii="David" w:hAnsi="David"/>
          <w:rtl w:val="true"/>
        </w:rPr>
        <w:t xml:space="preserve">, </w:t>
      </w:r>
      <w:r>
        <w:rPr>
          <w:rFonts w:ascii="David" w:hAnsi="David" w:cs="David"/>
          <w:rtl w:val="true"/>
        </w:rPr>
        <w:t>מרבית הסכמי המכר נכרתו</w:t>
      </w:r>
      <w:r>
        <w:rPr>
          <w:rFonts w:cs="David" w:ascii="David" w:hAnsi="David"/>
          <w:rtl w:val="true"/>
        </w:rPr>
        <w:t xml:space="preserve">, </w:t>
      </w:r>
      <w:r>
        <w:rPr>
          <w:rFonts w:ascii="David" w:hAnsi="David" w:cs="David"/>
          <w:rtl w:val="true"/>
        </w:rPr>
        <w:t>למצער במתכונתם המקורית</w:t>
      </w:r>
      <w:r>
        <w:rPr>
          <w:rFonts w:cs="David" w:ascii="David" w:hAnsi="David"/>
          <w:rtl w:val="true"/>
        </w:rPr>
        <w:t xml:space="preserve">, </w:t>
      </w:r>
      <w:r>
        <w:rPr>
          <w:rFonts w:ascii="David" w:hAnsi="David" w:cs="David"/>
          <w:rtl w:val="true"/>
        </w:rPr>
        <w:t>קודם לכניסתה של התוכנית לתוקף</w:t>
      </w:r>
      <w:r>
        <w:rPr>
          <w:rFonts w:cs="David" w:ascii="David" w:hAnsi="David"/>
          <w:rtl w:val="true"/>
        </w:rPr>
        <w:t xml:space="preserve">, </w:t>
      </w:r>
      <w:r>
        <w:rPr>
          <w:rFonts w:ascii="David" w:hAnsi="David" w:cs="David"/>
          <w:rtl w:val="true"/>
        </w:rPr>
        <w:t>ונכון למועד תחילת התוכנית כבר הושגה הסכמה של בעלי זכויות ב</w:t>
      </w:r>
      <w:r>
        <w:rPr>
          <w:rFonts w:cs="David" w:ascii="David" w:hAnsi="David"/>
          <w:rtl w:val="true"/>
        </w:rPr>
        <w:t>-</w:t>
      </w:r>
      <w:r>
        <w:rPr>
          <w:rFonts w:cs="David" w:ascii="David" w:hAnsi="David"/>
        </w:rPr>
        <w:t>114</w:t>
      </w:r>
      <w:r>
        <w:rPr>
          <w:rFonts w:cs="David" w:ascii="David" w:hAnsi="David"/>
          <w:rtl w:val="true"/>
        </w:rPr>
        <w:t xml:space="preserve"> </w:t>
      </w:r>
      <w:r>
        <w:rPr>
          <w:rFonts w:ascii="David" w:hAnsi="David" w:cs="David"/>
          <w:rtl w:val="true"/>
        </w:rPr>
        <w:t xml:space="preserve">יחידות דיור מתוך </w:t>
      </w:r>
      <w:r>
        <w:rPr>
          <w:rFonts w:cs="David" w:ascii="David" w:hAnsi="David"/>
        </w:rPr>
        <w:t>138</w:t>
      </w:r>
      <w:r>
        <w:rPr>
          <w:rFonts w:cs="David" w:ascii="David" w:hAnsi="David"/>
          <w:rtl w:val="true"/>
        </w:rPr>
        <w:t xml:space="preserve"> </w:t>
      </w:r>
      <w:r>
        <w:rPr>
          <w:rFonts w:ascii="David" w:hAnsi="David" w:cs="David"/>
          <w:rtl w:val="true"/>
        </w:rPr>
        <w:t>יחידות דיור</w:t>
      </w:r>
      <w:r>
        <w:rPr>
          <w:rFonts w:cs="David" w:ascii="David" w:hAnsi="David"/>
          <w:rtl w:val="true"/>
        </w:rPr>
        <w:t xml:space="preserve">, </w:t>
      </w:r>
      <w:r>
        <w:rPr>
          <w:rFonts w:ascii="David" w:hAnsi="David" w:cs="David"/>
          <w:rtl w:val="true"/>
        </w:rPr>
        <w:t>כך לפי עמדת הוועדה המקומית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ההסכמים עצמם כרכו את העברת הזכויות בקידומו של המיזם</w:t>
      </w:r>
      <w:r>
        <w:rPr>
          <w:rFonts w:cs="David" w:ascii="David" w:hAnsi="David"/>
          <w:rtl w:val="true"/>
        </w:rPr>
        <w:t xml:space="preserve">, </w:t>
      </w:r>
      <w:r>
        <w:rPr>
          <w:rFonts w:ascii="David" w:hAnsi="David" w:cs="David"/>
          <w:rtl w:val="true"/>
        </w:rPr>
        <w:t>וקבעו לוחות זמנים ברורים לאישור התוכנית ולקבלת היתרי בנייה מכוחה</w:t>
      </w:r>
      <w:r>
        <w:rPr>
          <w:rFonts w:cs="David" w:ascii="David" w:hAnsi="David"/>
          <w:rtl w:val="true"/>
        </w:rPr>
        <w:t xml:space="preserve">. </w:t>
      </w:r>
      <w:r>
        <w:rPr>
          <w:rFonts w:ascii="David" w:hAnsi="David" w:cs="David"/>
          <w:rtl w:val="true"/>
        </w:rPr>
        <w:t>ככל שהתקדם המיזם על ציר הזמן</w:t>
      </w:r>
      <w:r>
        <w:rPr>
          <w:rFonts w:cs="David" w:ascii="David" w:hAnsi="David"/>
          <w:rtl w:val="true"/>
        </w:rPr>
        <w:t xml:space="preserve">, </w:t>
      </w:r>
      <w:r>
        <w:rPr>
          <w:rFonts w:ascii="David" w:hAnsi="David" w:cs="David"/>
          <w:rtl w:val="true"/>
        </w:rPr>
        <w:t>גדל שיעור ההסכמות</w:t>
      </w:r>
      <w:r>
        <w:rPr>
          <w:rFonts w:cs="David" w:ascii="David" w:hAnsi="David"/>
          <w:rtl w:val="true"/>
        </w:rPr>
        <w:t xml:space="preserve">, </w:t>
      </w:r>
      <w:r>
        <w:rPr>
          <w:rFonts w:ascii="David" w:hAnsi="David" w:cs="David"/>
          <w:rtl w:val="true"/>
        </w:rPr>
        <w:t>ובד בבד התקדמו גם הליכי מימושו</w:t>
      </w:r>
      <w:r>
        <w:rPr>
          <w:rFonts w:cs="David" w:ascii="David" w:hAnsi="David"/>
          <w:rtl w:val="true"/>
        </w:rPr>
        <w:t xml:space="preserve">, </w:t>
      </w:r>
      <w:r>
        <w:rPr>
          <w:rFonts w:ascii="David" w:hAnsi="David" w:cs="David"/>
          <w:rtl w:val="true"/>
        </w:rPr>
        <w:t>עד למתן היתרי הבנייה הראשונים במתחם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בנסיבות אלה</w:t>
      </w:r>
      <w:r>
        <w:rPr>
          <w:rFonts w:cs="David" w:ascii="David" w:hAnsi="David"/>
          <w:rtl w:val="true"/>
        </w:rPr>
        <w:t xml:space="preserve">, </w:t>
      </w:r>
      <w:r>
        <w:rPr>
          <w:rFonts w:ascii="David" w:hAnsi="David" w:cs="David"/>
          <w:rtl w:val="true"/>
        </w:rPr>
        <w:t>לשיטתנו</w:t>
      </w:r>
      <w:r>
        <w:rPr>
          <w:rFonts w:cs="David" w:ascii="David" w:hAnsi="David"/>
          <w:rtl w:val="true"/>
        </w:rPr>
        <w:t xml:space="preserve">, </w:t>
      </w:r>
      <w:r>
        <w:rPr>
          <w:rFonts w:ascii="David" w:hAnsi="David" w:cs="David"/>
          <w:rtl w:val="true"/>
        </w:rPr>
        <w:t>קשה לראות בהעברת הזכויות להקמת מרחבים מוגנים משום מכר העומד בפני עצמו</w:t>
      </w:r>
      <w:r>
        <w:rPr>
          <w:rFonts w:cs="David" w:ascii="David" w:hAnsi="David"/>
          <w:rtl w:val="true"/>
        </w:rPr>
        <w:t xml:space="preserve">, </w:t>
      </w:r>
      <w:r>
        <w:rPr>
          <w:rFonts w:ascii="David" w:hAnsi="David" w:cs="David"/>
          <w:rtl w:val="true"/>
        </w:rPr>
        <w:t>במנותק מהמהלך שנועד להביא למימושן בבנייה</w:t>
      </w:r>
      <w:r>
        <w:rPr>
          <w:rFonts w:cs="David" w:ascii="David" w:hAnsi="David"/>
          <w:rtl w:val="true"/>
        </w:rPr>
        <w:t xml:space="preserve">. </w:t>
      </w:r>
      <w:r>
        <w:rPr>
          <w:rFonts w:ascii="David" w:hAnsi="David" w:cs="David"/>
          <w:rtl w:val="true"/>
        </w:rPr>
        <w:t>עם זאת</w:t>
      </w:r>
      <w:r>
        <w:rPr>
          <w:rFonts w:cs="David" w:ascii="David" w:hAnsi="David"/>
          <w:rtl w:val="true"/>
        </w:rPr>
        <w:t xml:space="preserve">, </w:t>
      </w:r>
      <w:r>
        <w:rPr>
          <w:rFonts w:ascii="David" w:hAnsi="David" w:cs="David"/>
          <w:rtl w:val="true"/>
        </w:rPr>
        <w:t>נקודת המוצא להכרעתנו היא</w:t>
      </w:r>
      <w:r>
        <w:rPr>
          <w:rFonts w:cs="David" w:ascii="David" w:hAnsi="David"/>
          <w:rtl w:val="true"/>
        </w:rPr>
        <w:t xml:space="preserve">, </w:t>
      </w:r>
      <w:r>
        <w:rPr>
          <w:rFonts w:ascii="David" w:hAnsi="David" w:cs="David"/>
          <w:rtl w:val="true"/>
        </w:rPr>
        <w:t>כמובן</w:t>
      </w:r>
      <w:r>
        <w:rPr>
          <w:rFonts w:cs="David" w:ascii="David" w:hAnsi="David"/>
          <w:rtl w:val="true"/>
        </w:rPr>
        <w:t xml:space="preserve">, </w:t>
      </w:r>
      <w:r>
        <w:rPr>
          <w:rFonts w:ascii="David" w:hAnsi="David" w:cs="David"/>
          <w:rtl w:val="true"/>
        </w:rPr>
        <w:t xml:space="preserve">ההלכה שנקבעה </w:t>
      </w:r>
      <w:r>
        <w:rPr>
          <w:rFonts w:ascii="Miriam" w:hAnsi="Miriam" w:cs="Miriam"/>
          <w:rtl w:val="true"/>
        </w:rPr>
        <w:t>בעניין בקר</w:t>
      </w:r>
      <w:r>
        <w:rPr>
          <w:rFonts w:cs="David" w:ascii="David" w:hAnsi="David"/>
          <w:rtl w:val="true"/>
        </w:rPr>
        <w:t xml:space="preserve">, </w:t>
      </w:r>
      <w:r>
        <w:rPr>
          <w:rFonts w:ascii="David" w:hAnsi="David" w:cs="David"/>
          <w:rtl w:val="true"/>
        </w:rPr>
        <w:t>המחייבת אותנו</w:t>
      </w:r>
      <w:r>
        <w:rPr>
          <w:rFonts w:cs="David" w:ascii="David" w:hAnsi="David"/>
          <w:rtl w:val="true"/>
        </w:rPr>
        <w:t xml:space="preserve">. </w:t>
      </w:r>
      <w:r>
        <w:rPr>
          <w:rFonts w:ascii="David" w:hAnsi="David" w:cs="David"/>
          <w:rtl w:val="true"/>
        </w:rPr>
        <w:t>משכך</w:t>
      </w:r>
      <w:r>
        <w:rPr>
          <w:rFonts w:cs="David" w:ascii="David" w:hAnsi="David"/>
          <w:rtl w:val="true"/>
        </w:rPr>
        <w:t xml:space="preserve">, </w:t>
      </w:r>
      <w:r>
        <w:rPr>
          <w:rFonts w:ascii="David" w:hAnsi="David" w:cs="David"/>
          <w:rtl w:val="true"/>
        </w:rPr>
        <w:t>אף שעמדתנו באשר לפרשנותו של סעיף הפטור וליישומו בנסיבות כגון אלה שונה</w:t>
      </w:r>
      <w:r>
        <w:rPr>
          <w:rFonts w:cs="David" w:ascii="David" w:hAnsi="David"/>
          <w:rtl w:val="true"/>
        </w:rPr>
        <w:t xml:space="preserve">, </w:t>
      </w:r>
      <w:r>
        <w:rPr>
          <w:rFonts w:ascii="David" w:hAnsi="David" w:cs="David"/>
          <w:rtl w:val="true"/>
        </w:rPr>
        <w:t>הכרעתנו תיעשה בגדרי ההלכה שנקבעה ובכפוף לה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ואולם</w:t>
      </w:r>
      <w:r>
        <w:rPr>
          <w:rFonts w:cs="David" w:ascii="David" w:hAnsi="David"/>
          <w:rtl w:val="true"/>
        </w:rPr>
        <w:t xml:space="preserve">, </w:t>
      </w:r>
      <w:r>
        <w:rPr>
          <w:rFonts w:ascii="David" w:hAnsi="David" w:cs="David"/>
          <w:rtl w:val="true"/>
        </w:rPr>
        <w:t xml:space="preserve">משמבקשים אנו להוריד את שנפסק </w:t>
      </w:r>
      <w:r>
        <w:rPr>
          <w:rFonts w:ascii="Miriam" w:hAnsi="Miriam" w:cs="Miriam"/>
          <w:rtl w:val="true"/>
        </w:rPr>
        <w:t>בעניין בקר</w:t>
      </w:r>
      <w:r>
        <w:rPr>
          <w:rFonts w:ascii="David" w:hAnsi="David" w:cs="David"/>
          <w:rtl w:val="true"/>
        </w:rPr>
        <w:t xml:space="preserve"> מן המישור העיוני אל קרקע המציאות שלפנינו</w:t>
      </w:r>
      <w:r>
        <w:rPr>
          <w:rFonts w:cs="David" w:ascii="David" w:hAnsi="David"/>
          <w:rtl w:val="true"/>
        </w:rPr>
        <w:t xml:space="preserve">, </w:t>
      </w:r>
      <w:r>
        <w:rPr>
          <w:rFonts w:ascii="David" w:hAnsi="David" w:cs="David"/>
          <w:rtl w:val="true"/>
        </w:rPr>
        <w:t>מתגלה קושי של ממש</w:t>
      </w:r>
      <w:r>
        <w:rPr>
          <w:rFonts w:cs="David" w:ascii="David" w:hAnsi="David"/>
          <w:rtl w:val="true"/>
        </w:rPr>
        <w:t xml:space="preserve">. </w:t>
      </w:r>
      <w:r>
        <w:rPr>
          <w:rFonts w:ascii="David" w:hAnsi="David" w:cs="David"/>
          <w:rtl w:val="true"/>
        </w:rPr>
        <w:t>הקושי נעוץ בניסיון לבודד</w:t>
      </w:r>
      <w:r>
        <w:rPr>
          <w:rFonts w:cs="David" w:ascii="David" w:hAnsi="David"/>
          <w:rtl w:val="true"/>
        </w:rPr>
        <w:t xml:space="preserve">, </w:t>
      </w:r>
      <w:r>
        <w:rPr>
          <w:rFonts w:ascii="David" w:hAnsi="David" w:cs="David"/>
          <w:rtl w:val="true"/>
        </w:rPr>
        <w:t>מתוך מכלול זכויות הבנייה שהקנתה התוכנית</w:t>
      </w:r>
      <w:r>
        <w:rPr>
          <w:rFonts w:cs="David" w:ascii="David" w:hAnsi="David"/>
          <w:rtl w:val="true"/>
        </w:rPr>
        <w:t xml:space="preserve">, </w:t>
      </w:r>
      <w:r>
        <w:rPr>
          <w:rFonts w:ascii="David" w:hAnsi="David" w:cs="David"/>
          <w:rtl w:val="true"/>
        </w:rPr>
        <w:t xml:space="preserve">את אותו </w:t>
      </w:r>
      <w:r>
        <w:rPr>
          <w:rFonts w:cs="David" w:ascii="David" w:hAnsi="David"/>
          <w:rtl w:val="true"/>
        </w:rPr>
        <w:t>"</w:t>
      </w:r>
      <w:r>
        <w:rPr>
          <w:rFonts w:ascii="David" w:hAnsi="David" w:cs="David"/>
          <w:rtl w:val="true"/>
        </w:rPr>
        <w:t>נתח</w:t>
      </w:r>
      <w:r>
        <w:rPr>
          <w:rFonts w:cs="David" w:ascii="David" w:hAnsi="David"/>
          <w:rtl w:val="true"/>
        </w:rPr>
        <w:t xml:space="preserve">" </w:t>
      </w:r>
      <w:r>
        <w:rPr>
          <w:rFonts w:ascii="David" w:hAnsi="David" w:cs="David"/>
          <w:rtl w:val="true"/>
        </w:rPr>
        <w:t>של זכויות להקמת מרחבים מוגנים שניתן לייחס לכל אחד מבעלי הזכויות במתחם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נניח</w:t>
      </w:r>
      <w:r>
        <w:rPr>
          <w:rFonts w:cs="David" w:ascii="David" w:hAnsi="David"/>
          <w:rtl w:val="true"/>
        </w:rPr>
        <w:t xml:space="preserve">, </w:t>
      </w:r>
      <w:r>
        <w:rPr>
          <w:rFonts w:ascii="David" w:hAnsi="David" w:cs="David"/>
          <w:rtl w:val="true"/>
        </w:rPr>
        <w:t>לצורך הדיון</w:t>
      </w:r>
      <w:r>
        <w:rPr>
          <w:rFonts w:cs="David" w:ascii="David" w:hAnsi="David"/>
          <w:rtl w:val="true"/>
        </w:rPr>
        <w:t xml:space="preserve">, </w:t>
      </w:r>
      <w:r>
        <w:rPr>
          <w:rFonts w:ascii="David" w:hAnsi="David" w:cs="David"/>
          <w:rtl w:val="true"/>
        </w:rPr>
        <w:t xml:space="preserve">כי התוכנית מעמידה לרשות המתחם </w:t>
      </w:r>
      <w:r>
        <w:rPr>
          <w:rFonts w:cs="David" w:ascii="David" w:hAnsi="David"/>
          <w:rtl w:val="true"/>
        </w:rPr>
        <w:t>"</w:t>
      </w:r>
      <w:r>
        <w:rPr>
          <w:rFonts w:ascii="David" w:hAnsi="David" w:cs="David"/>
          <w:rtl w:val="true"/>
        </w:rPr>
        <w:t>עוגה</w:t>
      </w:r>
      <w:r>
        <w:rPr>
          <w:rFonts w:cs="David" w:ascii="David" w:hAnsi="David"/>
          <w:rtl w:val="true"/>
        </w:rPr>
        <w:t xml:space="preserve">" </w:t>
      </w:r>
      <w:r>
        <w:rPr>
          <w:rFonts w:ascii="David" w:hAnsi="David" w:cs="David"/>
          <w:rtl w:val="true"/>
        </w:rPr>
        <w:t>תכנונית של זכויות בנייה</w:t>
      </w:r>
      <w:r>
        <w:rPr>
          <w:rFonts w:cs="David" w:ascii="David" w:hAnsi="David"/>
          <w:rtl w:val="true"/>
        </w:rPr>
        <w:t xml:space="preserve">, </w:t>
      </w:r>
      <w:r>
        <w:rPr>
          <w:rFonts w:ascii="David" w:hAnsi="David" w:cs="David"/>
          <w:rtl w:val="true"/>
        </w:rPr>
        <w:t>וכי חלקו של כל בעל זכויות בעוגה זו נגזר מחלקו היחסי ברכוש המשותף</w:t>
      </w:r>
      <w:r>
        <w:rPr>
          <w:rFonts w:cs="David" w:ascii="David" w:hAnsi="David"/>
          <w:rtl w:val="true"/>
        </w:rPr>
        <w:t xml:space="preserve">. </w:t>
      </w:r>
      <w:r>
        <w:rPr>
          <w:rFonts w:ascii="David" w:hAnsi="David" w:cs="David"/>
          <w:rtl w:val="true"/>
        </w:rPr>
        <w:t>גם תחת הנחה זו</w:t>
      </w:r>
      <w:r>
        <w:rPr>
          <w:rFonts w:cs="David" w:ascii="David" w:hAnsi="David"/>
          <w:rtl w:val="true"/>
        </w:rPr>
        <w:t xml:space="preserve">, </w:t>
      </w:r>
      <w:r>
        <w:rPr>
          <w:rFonts w:ascii="David" w:hAnsi="David" w:cs="David"/>
          <w:rtl w:val="true"/>
        </w:rPr>
        <w:t xml:space="preserve">הדרך ליישום </w:t>
      </w:r>
      <w:r>
        <w:rPr>
          <w:rFonts w:ascii="Miriam" w:hAnsi="Miriam" w:cs="Miriam"/>
          <w:rtl w:val="true"/>
        </w:rPr>
        <w:t>עניין בקר</w:t>
      </w:r>
      <w:r>
        <w:rPr>
          <w:rFonts w:ascii="David" w:hAnsi="David" w:cs="David"/>
          <w:rtl w:val="true"/>
        </w:rPr>
        <w:t xml:space="preserve"> אינה קצרה</w:t>
      </w:r>
      <w:r>
        <w:rPr>
          <w:rFonts w:cs="David" w:ascii="David" w:hAnsi="David"/>
          <w:rtl w:val="true"/>
        </w:rPr>
        <w:t xml:space="preserve">. </w:t>
      </w:r>
      <w:r>
        <w:rPr>
          <w:rFonts w:ascii="David" w:hAnsi="David" w:cs="David"/>
          <w:rtl w:val="true"/>
        </w:rPr>
        <w:t>נדרשות למצער שתי הבחנות נוספות</w:t>
      </w:r>
      <w:r>
        <w:rPr>
          <w:rFonts w:cs="David" w:ascii="David" w:hAnsi="David"/>
          <w:rtl w:val="true"/>
        </w:rPr>
        <w:t xml:space="preserve">: </w:t>
      </w:r>
      <w:r>
        <w:rPr>
          <w:rFonts w:ascii="David" w:hAnsi="David" w:cs="David"/>
          <w:rtl w:val="true"/>
        </w:rPr>
        <w:t>תחילה</w:t>
      </w:r>
      <w:r>
        <w:rPr>
          <w:rFonts w:cs="David" w:ascii="David" w:hAnsi="David"/>
          <w:rtl w:val="true"/>
        </w:rPr>
        <w:t xml:space="preserve">, </w:t>
      </w:r>
      <w:r>
        <w:rPr>
          <w:rFonts w:ascii="David" w:hAnsi="David" w:cs="David"/>
          <w:rtl w:val="true"/>
        </w:rPr>
        <w:t>יש לחלץ מתוך חלקו היחסי של בעל הזכויות את שיעור הזכויות המיוחס דווקא להקמת מרחבים מוגנים</w:t>
      </w:r>
      <w:r>
        <w:rPr>
          <w:rFonts w:cs="David" w:ascii="David" w:hAnsi="David"/>
          <w:rtl w:val="true"/>
        </w:rPr>
        <w:t xml:space="preserve">; </w:t>
      </w:r>
      <w:r>
        <w:rPr>
          <w:rFonts w:ascii="David" w:hAnsi="David" w:cs="David"/>
          <w:rtl w:val="true"/>
        </w:rPr>
        <w:t>ולאחר מכן יש לפצל גם רכיב זה לשניים – הזכויות שימומשו במרחב המוגן בדירת התמורה שתימסר לאותו בעל זכויות</w:t>
      </w:r>
      <w:r>
        <w:rPr>
          <w:rFonts w:cs="David" w:ascii="David" w:hAnsi="David"/>
          <w:rtl w:val="true"/>
        </w:rPr>
        <w:t xml:space="preserve">, </w:t>
      </w:r>
      <w:r>
        <w:rPr>
          <w:rFonts w:ascii="David" w:hAnsi="David" w:cs="David"/>
          <w:rtl w:val="true"/>
        </w:rPr>
        <w:t>מזה</w:t>
      </w:r>
      <w:r>
        <w:rPr>
          <w:rFonts w:cs="David" w:ascii="David" w:hAnsi="David"/>
          <w:rtl w:val="true"/>
        </w:rPr>
        <w:t xml:space="preserve">, </w:t>
      </w:r>
      <w:r>
        <w:rPr>
          <w:rFonts w:ascii="David" w:hAnsi="David" w:cs="David"/>
          <w:rtl w:val="true"/>
        </w:rPr>
        <w:t>והזכויות שהועברו ליזם במסגרת העסקה</w:t>
      </w:r>
      <w:r>
        <w:rPr>
          <w:rFonts w:cs="David" w:ascii="David" w:hAnsi="David"/>
          <w:rtl w:val="true"/>
        </w:rPr>
        <w:t xml:space="preserve">, </w:t>
      </w:r>
      <w:r>
        <w:rPr>
          <w:rFonts w:ascii="David" w:hAnsi="David" w:cs="David"/>
          <w:rtl w:val="true"/>
        </w:rPr>
        <w:t>מזה</w:t>
      </w:r>
      <w:r>
        <w:rPr>
          <w:rFonts w:cs="David" w:ascii="David" w:hAnsi="David"/>
          <w:rtl w:val="true"/>
        </w:rPr>
        <w:t>.</w:t>
      </w:r>
    </w:p>
    <w:p>
      <w:pPr>
        <w:pStyle w:val="Ruller43"/>
        <w:spacing w:before="240" w:after="240"/>
        <w:ind w:start="510" w:end="0"/>
        <w:jc w:val="both"/>
        <w:rPr/>
      </w:pPr>
      <w:r>
        <w:rPr>
          <w:rFonts w:cs="David" w:ascii="David" w:hAnsi="David"/>
          <w:rtl w:val="true"/>
        </w:rPr>
        <w:t>[</w:t>
      </w:r>
      <w:r>
        <w:rPr>
          <w:rFonts w:ascii="David" w:hAnsi="David" w:cs="David"/>
          <w:rtl w:val="true"/>
        </w:rPr>
        <w:t>הצורך בפיצול טבוע במבנה העסקה עצמה</w:t>
      </w:r>
      <w:r>
        <w:rPr>
          <w:rFonts w:cs="David" w:ascii="David" w:hAnsi="David"/>
          <w:rtl w:val="true"/>
        </w:rPr>
        <w:t xml:space="preserve">. </w:t>
      </w:r>
      <w:r>
        <w:rPr>
          <w:rFonts w:ascii="David" w:hAnsi="David" w:cs="David"/>
          <w:rtl w:val="true"/>
        </w:rPr>
        <w:t>כפי שעולה מההסכמים שהוצגו לנו</w:t>
      </w:r>
      <w:r>
        <w:rPr>
          <w:rFonts w:cs="David" w:ascii="David" w:hAnsi="David"/>
          <w:rtl w:val="true"/>
        </w:rPr>
        <w:t xml:space="preserve">, </w:t>
      </w:r>
      <w:r>
        <w:rPr>
          <w:rFonts w:ascii="David" w:hAnsi="David" w:cs="David"/>
          <w:rtl w:val="true"/>
        </w:rPr>
        <w:t>חלק מזכויותיו של בעל הזכויות להקמת מרחב מוגן אינו עובר ליזם כלל</w:t>
      </w:r>
      <w:r>
        <w:rPr>
          <w:rFonts w:cs="David" w:ascii="David" w:hAnsi="David"/>
          <w:rtl w:val="true"/>
        </w:rPr>
        <w:t xml:space="preserve">, </w:t>
      </w:r>
      <w:r>
        <w:rPr>
          <w:rFonts w:ascii="David" w:hAnsi="David" w:cs="David"/>
          <w:rtl w:val="true"/>
        </w:rPr>
        <w:t>אלא ממומש עבורו בדרך של בנייה – היזם מעמיד את שירותי הבנייה</w:t>
      </w:r>
      <w:r>
        <w:rPr>
          <w:rFonts w:cs="David" w:ascii="David" w:hAnsi="David"/>
          <w:rtl w:val="true"/>
        </w:rPr>
        <w:t xml:space="preserve">, </w:t>
      </w:r>
      <w:r>
        <w:rPr>
          <w:rFonts w:ascii="David" w:hAnsi="David" w:cs="David"/>
          <w:rtl w:val="true"/>
        </w:rPr>
        <w:t>והזכות קורמת עור וגידים במרחב המוגן שבדירת התמורה</w:t>
      </w:r>
      <w:r>
        <w:rPr>
          <w:rFonts w:cs="David" w:ascii="David" w:hAnsi="David"/>
          <w:rtl w:val="true"/>
        </w:rPr>
        <w:t xml:space="preserve">. </w:t>
      </w:r>
      <w:r>
        <w:rPr>
          <w:rFonts w:ascii="David" w:hAnsi="David" w:cs="David"/>
          <w:rtl w:val="true"/>
        </w:rPr>
        <w:t>רק יתרת הזכויות היא שמועברת ליזם כחלק מהעסקה</w:t>
      </w:r>
      <w:r>
        <w:rPr>
          <w:rFonts w:cs="David" w:ascii="David" w:hAnsi="David"/>
          <w:rtl w:val="true"/>
        </w:rPr>
        <w:t xml:space="preserve">. </w:t>
      </w:r>
      <w:r>
        <w:rPr>
          <w:rFonts w:ascii="David" w:hAnsi="David" w:cs="David"/>
          <w:rtl w:val="true"/>
        </w:rPr>
        <w:t>מכאן הצורך להפריד בין הזכויות שבעל הזכויות מממש באמצעות היזם לבין הזכויות שהוא מעביר לו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כלומר</w:t>
      </w:r>
      <w:r>
        <w:rPr>
          <w:rFonts w:cs="David" w:ascii="David" w:hAnsi="David"/>
          <w:rtl w:val="true"/>
        </w:rPr>
        <w:t xml:space="preserve">, </w:t>
      </w:r>
      <w:r>
        <w:rPr>
          <w:rFonts w:ascii="David" w:hAnsi="David" w:cs="David"/>
          <w:rtl w:val="true"/>
        </w:rPr>
        <w:t>אין די בידיעה מהו חלקו של בעל הזכויות במכלול</w:t>
      </w:r>
      <w:r>
        <w:rPr>
          <w:rFonts w:cs="David" w:ascii="David" w:hAnsi="David"/>
          <w:rtl w:val="true"/>
        </w:rPr>
        <w:t xml:space="preserve">; </w:t>
      </w:r>
      <w:r>
        <w:rPr>
          <w:rFonts w:ascii="David" w:hAnsi="David" w:cs="David"/>
          <w:rtl w:val="true"/>
        </w:rPr>
        <w:t>יש לדעת מהו חלקו בזכויות למרחבים מוגנים</w:t>
      </w:r>
      <w:r>
        <w:rPr>
          <w:rFonts w:cs="David" w:ascii="David" w:hAnsi="David"/>
          <w:rtl w:val="true"/>
        </w:rPr>
        <w:t xml:space="preserve">, </w:t>
      </w:r>
      <w:r>
        <w:rPr>
          <w:rFonts w:ascii="David" w:hAnsi="David" w:cs="David"/>
          <w:rtl w:val="true"/>
        </w:rPr>
        <w:t>ומתוך חלק זה – מה נותר בידיו ומה עבר לידי היזם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משימה זו אינה פשוטה כלל ועיקר</w:t>
      </w:r>
      <w:r>
        <w:rPr>
          <w:rFonts w:cs="David" w:ascii="David" w:hAnsi="David"/>
          <w:rtl w:val="true"/>
        </w:rPr>
        <w:t xml:space="preserve">. </w:t>
      </w:r>
      <w:r>
        <w:rPr>
          <w:rFonts w:ascii="David" w:hAnsi="David" w:cs="David"/>
          <w:rtl w:val="true"/>
        </w:rPr>
        <w:t>שהרי כיצד נצבע</w:t>
      </w:r>
      <w:r>
        <w:rPr>
          <w:rFonts w:cs="David" w:ascii="David" w:hAnsi="David"/>
          <w:rtl w:val="true"/>
        </w:rPr>
        <w:t xml:space="preserve">, </w:t>
      </w:r>
      <w:r>
        <w:rPr>
          <w:rFonts w:ascii="David" w:hAnsi="David" w:cs="David"/>
          <w:rtl w:val="true"/>
        </w:rPr>
        <w:t>בדיעבד</w:t>
      </w:r>
      <w:r>
        <w:rPr>
          <w:rFonts w:cs="David" w:ascii="David" w:hAnsi="David"/>
          <w:rtl w:val="true"/>
        </w:rPr>
        <w:t xml:space="preserve">, </w:t>
      </w:r>
      <w:r>
        <w:rPr>
          <w:rFonts w:ascii="David" w:hAnsi="David" w:cs="David"/>
          <w:rtl w:val="true"/>
        </w:rPr>
        <w:t>את זכויות הבנייה למרחבים מוגנים ונאמר אלה הזכויות ש</w:t>
      </w:r>
      <w:r>
        <w:rPr>
          <w:rFonts w:cs="David" w:ascii="David" w:hAnsi="David"/>
          <w:rtl w:val="true"/>
        </w:rPr>
        <w:t>"</w:t>
      </w:r>
      <w:r>
        <w:rPr>
          <w:rFonts w:ascii="David" w:hAnsi="David" w:cs="David"/>
          <w:rtl w:val="true"/>
        </w:rPr>
        <w:t>נמכרו</w:t>
      </w:r>
      <w:r>
        <w:rPr>
          <w:rFonts w:cs="David" w:ascii="David" w:hAnsi="David"/>
          <w:rtl w:val="true"/>
        </w:rPr>
        <w:t xml:space="preserve">" </w:t>
      </w:r>
      <w:r>
        <w:rPr>
          <w:rFonts w:ascii="David" w:hAnsi="David" w:cs="David"/>
          <w:rtl w:val="true"/>
        </w:rPr>
        <w:t>ליזם בידי בעלי הזכויות שהתקשרו עמו לאחר כניסתה של התוכנית לתוקף</w:t>
      </w:r>
      <w:r>
        <w:rPr>
          <w:rFonts w:cs="David" w:ascii="David" w:hAnsi="David"/>
          <w:rtl w:val="true"/>
        </w:rPr>
        <w:t xml:space="preserve">, </w:t>
      </w:r>
      <w:r>
        <w:rPr>
          <w:rFonts w:ascii="David" w:hAnsi="David" w:cs="David"/>
          <w:rtl w:val="true"/>
        </w:rPr>
        <w:t>ואלה הזכויות שנותרו בידיהם ועתידות לקרום עור וגידים במרחבים המוגנים שבדירות התמורה</w:t>
      </w:r>
      <w:r>
        <w:rPr>
          <w:rFonts w:cs="David" w:ascii="David" w:hAnsi="David"/>
          <w:rtl w:val="true"/>
        </w:rPr>
        <w:t xml:space="preserve">? </w:t>
      </w:r>
      <w:r>
        <w:rPr>
          <w:rFonts w:ascii="David" w:hAnsi="David" w:cs="David"/>
          <w:rtl w:val="true"/>
        </w:rPr>
        <w:t>על הנייר ניתן למתוח קו מפריד בין השתיים</w:t>
      </w:r>
      <w:r>
        <w:rPr>
          <w:rFonts w:cs="David" w:ascii="David" w:hAnsi="David"/>
          <w:rtl w:val="true"/>
        </w:rPr>
        <w:t xml:space="preserve">; </w:t>
      </w:r>
      <w:r>
        <w:rPr>
          <w:rFonts w:ascii="David" w:hAnsi="David" w:cs="David"/>
          <w:rtl w:val="true"/>
        </w:rPr>
        <w:t>במציאות</w:t>
      </w:r>
      <w:r>
        <w:rPr>
          <w:rFonts w:cs="David" w:ascii="David" w:hAnsi="David"/>
          <w:rtl w:val="true"/>
        </w:rPr>
        <w:t xml:space="preserve">, </w:t>
      </w:r>
      <w:r>
        <w:rPr>
          <w:rFonts w:ascii="David" w:hAnsi="David" w:cs="David"/>
          <w:rtl w:val="true"/>
        </w:rPr>
        <w:t>הקו מיטשטש עד מאוד</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במקרה שלפנינו לא הונחה תשתית עובדתית המאפשרת </w:t>
      </w:r>
      <w:r>
        <w:rPr>
          <w:rFonts w:cs="David" w:ascii="David" w:hAnsi="David"/>
          <w:rtl w:val="true"/>
        </w:rPr>
        <w:t>"</w:t>
      </w:r>
      <w:r>
        <w:rPr>
          <w:rFonts w:ascii="David" w:hAnsi="David" w:cs="David"/>
          <w:rtl w:val="true"/>
        </w:rPr>
        <w:t>לצבוע</w:t>
      </w:r>
      <w:r>
        <w:rPr>
          <w:rFonts w:cs="David" w:ascii="David" w:hAnsi="David"/>
          <w:rtl w:val="true"/>
        </w:rPr>
        <w:t xml:space="preserve">" </w:t>
      </w:r>
      <w:r>
        <w:rPr>
          <w:rFonts w:ascii="David" w:hAnsi="David" w:cs="David"/>
          <w:rtl w:val="true"/>
        </w:rPr>
        <w:t>חלק מסוים מזכויות הבנייה למרחבים מוגנים ולייחסו לבעלי הזכויות שהתקשרו בהסכמי מכר לאחר כניסתה של התוכנית לתוקף</w:t>
      </w:r>
      <w:r>
        <w:rPr>
          <w:rFonts w:cs="David" w:ascii="David" w:hAnsi="David"/>
          <w:rtl w:val="true"/>
        </w:rPr>
        <w:t xml:space="preserve">. </w:t>
      </w:r>
      <w:r>
        <w:rPr>
          <w:rFonts w:ascii="David" w:hAnsi="David" w:cs="David"/>
          <w:rtl w:val="true"/>
        </w:rPr>
        <w:t>ממילא</w:t>
      </w:r>
      <w:r>
        <w:rPr>
          <w:rFonts w:cs="David" w:ascii="David" w:hAnsi="David"/>
          <w:rtl w:val="true"/>
        </w:rPr>
        <w:t xml:space="preserve">, </w:t>
      </w:r>
      <w:r>
        <w:rPr>
          <w:rFonts w:ascii="David" w:hAnsi="David" w:cs="David"/>
          <w:rtl w:val="true"/>
        </w:rPr>
        <w:t>לא ניתן לדעת אילו מן הזכויות עברו ליזם ואילו מהן נותרו</w:t>
      </w:r>
      <w:r>
        <w:rPr>
          <w:rFonts w:cs="David" w:ascii="David" w:hAnsi="David"/>
          <w:rtl w:val="true"/>
        </w:rPr>
        <w:t xml:space="preserve">, </w:t>
      </w:r>
      <w:r>
        <w:rPr>
          <w:rFonts w:ascii="David" w:hAnsi="David" w:cs="David"/>
          <w:rtl w:val="true"/>
        </w:rPr>
        <w:t>מבחינה כלכלית</w:t>
      </w:r>
      <w:r>
        <w:rPr>
          <w:rFonts w:cs="David" w:ascii="David" w:hAnsi="David"/>
          <w:rtl w:val="true"/>
        </w:rPr>
        <w:t xml:space="preserve">, </w:t>
      </w:r>
      <w:r>
        <w:rPr>
          <w:rFonts w:ascii="David" w:hAnsi="David" w:cs="David"/>
          <w:rtl w:val="true"/>
        </w:rPr>
        <w:t>בידי בעלי הזכויות וימומשו בדירות התמורה שיקבלו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למעשה</w:t>
      </w:r>
      <w:r>
        <w:rPr>
          <w:rFonts w:cs="David" w:ascii="David" w:hAnsi="David"/>
          <w:rtl w:val="true"/>
        </w:rPr>
        <w:t xml:space="preserve">, </w:t>
      </w:r>
      <w:r>
        <w:rPr>
          <w:rFonts w:ascii="David" w:hAnsi="David" w:cs="David"/>
          <w:rtl w:val="true"/>
        </w:rPr>
        <w:t>הסכמי המכר אינם פורטים את העסקה לפרוסות של זכויות בנייה</w:t>
      </w:r>
      <w:r>
        <w:rPr>
          <w:rFonts w:cs="David" w:ascii="David" w:hAnsi="David"/>
          <w:rtl w:val="true"/>
        </w:rPr>
        <w:t xml:space="preserve">. </w:t>
      </w:r>
      <w:r>
        <w:rPr>
          <w:rFonts w:ascii="David" w:hAnsi="David" w:cs="David"/>
          <w:rtl w:val="true"/>
        </w:rPr>
        <w:t>הם מגדירים</w:t>
      </w:r>
      <w:r>
        <w:rPr>
          <w:rFonts w:cs="David" w:ascii="David" w:hAnsi="David"/>
          <w:rtl w:val="true"/>
        </w:rPr>
        <w:t xml:space="preserve">, </w:t>
      </w:r>
      <w:r>
        <w:rPr>
          <w:rFonts w:ascii="David" w:hAnsi="David" w:cs="David"/>
          <w:rtl w:val="true"/>
        </w:rPr>
        <w:t>בעיקרם</w:t>
      </w:r>
      <w:r>
        <w:rPr>
          <w:rFonts w:cs="David" w:ascii="David" w:hAnsi="David"/>
          <w:rtl w:val="true"/>
        </w:rPr>
        <w:t xml:space="preserve">, </w:t>
      </w:r>
      <w:r>
        <w:rPr>
          <w:rFonts w:ascii="David" w:hAnsi="David" w:cs="David"/>
          <w:rtl w:val="true"/>
        </w:rPr>
        <w:t>את דירות התמורה שיוקנו לבעלי הזכויות</w:t>
      </w:r>
      <w:r>
        <w:rPr>
          <w:rFonts w:cs="David" w:ascii="David" w:hAnsi="David"/>
          <w:rtl w:val="true"/>
        </w:rPr>
        <w:t xml:space="preserve">, </w:t>
      </w:r>
      <w:r>
        <w:rPr>
          <w:rFonts w:ascii="David" w:hAnsi="David" w:cs="David"/>
          <w:rtl w:val="true"/>
        </w:rPr>
        <w:t>אך אינם מייחדים ואינם מכמתים את זכויות הבנייה המועברות ליזם</w:t>
      </w:r>
      <w:r>
        <w:rPr>
          <w:rFonts w:cs="David" w:ascii="David" w:hAnsi="David"/>
          <w:rtl w:val="true"/>
        </w:rPr>
        <w:t xml:space="preserve">, </w:t>
      </w:r>
      <w:r>
        <w:rPr>
          <w:rFonts w:ascii="David" w:hAnsi="David" w:cs="David"/>
          <w:rtl w:val="true"/>
        </w:rPr>
        <w:t>וממילא אינם קובעים מהו החלק מתוכן המיוחס להקמת מרחבים מוגנים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ומכאן הקושי במקרה שלפנינו</w:t>
      </w:r>
      <w:r>
        <w:rPr>
          <w:rFonts w:cs="David" w:ascii="David" w:hAnsi="David"/>
          <w:rtl w:val="true"/>
        </w:rPr>
        <w:t xml:space="preserve">. </w:t>
      </w:r>
      <w:r>
        <w:rPr>
          <w:rFonts w:ascii="David" w:hAnsi="David" w:cs="David"/>
          <w:rtl w:val="true"/>
        </w:rPr>
        <w:t xml:space="preserve">כדי ליישם את </w:t>
      </w:r>
      <w:r>
        <w:rPr>
          <w:rFonts w:ascii="Miriam" w:hAnsi="Miriam" w:cs="Miriam"/>
          <w:rtl w:val="true"/>
        </w:rPr>
        <w:t>עניין בקר</w:t>
      </w:r>
      <w:r>
        <w:rPr>
          <w:rFonts w:ascii="David" w:hAnsi="David" w:cs="David"/>
          <w:rtl w:val="true"/>
        </w:rPr>
        <w:t xml:space="preserve"> נדרש לקבוע מהו היקף זכויות הבנייה למרחבים מוגנים שהועברו ליזם לאחר כניסתה של התוכנית לתוקף</w:t>
      </w:r>
      <w:r>
        <w:rPr>
          <w:rFonts w:cs="David" w:ascii="David" w:hAnsi="David"/>
          <w:rtl w:val="true"/>
        </w:rPr>
        <w:t xml:space="preserve">, </w:t>
      </w:r>
      <w:r>
        <w:rPr>
          <w:rFonts w:ascii="David" w:hAnsi="David" w:cs="David"/>
          <w:rtl w:val="true"/>
        </w:rPr>
        <w:t>אלא שהחומר שלפנינו אינו מספק אמת מידה המאפשרת לעשות כן</w:t>
      </w:r>
      <w:r>
        <w:rPr>
          <w:rFonts w:cs="David" w:ascii="David" w:hAnsi="David"/>
          <w:rtl w:val="true"/>
        </w:rPr>
        <w:t xml:space="preserve">. </w:t>
      </w:r>
      <w:r>
        <w:rPr>
          <w:rFonts w:ascii="David" w:hAnsi="David" w:cs="David"/>
          <w:rtl w:val="true"/>
        </w:rPr>
        <w:t>אף אחד מהצדדים לא הציע מתודולוגיה שתאפשר להתיר את הסבך</w:t>
      </w:r>
      <w:r>
        <w:rPr>
          <w:rFonts w:cs="David" w:ascii="David" w:hAnsi="David"/>
          <w:rtl w:val="true"/>
        </w:rPr>
        <w:t xml:space="preserve">, </w:t>
      </w:r>
      <w:r>
        <w:rPr>
          <w:rFonts w:ascii="David" w:hAnsi="David" w:cs="David"/>
          <w:rtl w:val="true"/>
        </w:rPr>
        <w:t>וספק אם ניתן לגזור מתודולוגיה כזו ממערכת ההסכמים שלפנינו מבלי להידרש להנחות שאינן מעוגנות בה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בנסיבות אלה</w:t>
      </w:r>
      <w:r>
        <w:rPr>
          <w:rFonts w:cs="David" w:ascii="David" w:hAnsi="David"/>
          <w:rtl w:val="true"/>
        </w:rPr>
        <w:t xml:space="preserve">, </w:t>
      </w:r>
      <w:r>
        <w:rPr>
          <w:rFonts w:ascii="David" w:hAnsi="David" w:cs="David"/>
          <w:rtl w:val="true"/>
        </w:rPr>
        <w:t>אין מנוס מהשבת הסוגיה לבחינה נוספת לפני השמאית המכריעה</w:t>
      </w:r>
      <w:r>
        <w:rPr>
          <w:rFonts w:cs="David" w:ascii="David" w:hAnsi="David"/>
          <w:rtl w:val="true"/>
        </w:rPr>
        <w:t xml:space="preserve">, </w:t>
      </w:r>
      <w:r>
        <w:rPr>
          <w:rFonts w:ascii="David" w:hAnsi="David" w:cs="David"/>
          <w:rtl w:val="true"/>
        </w:rPr>
        <w:t>בהתאם להנחיות שיפורטו בפרק המסכם</w:t>
      </w:r>
      <w:r>
        <w:rPr>
          <w:rFonts w:cs="David" w:ascii="David" w:hAnsi="David"/>
          <w:rtl w:val="true"/>
        </w:rPr>
        <w:t>.</w:t>
      </w:r>
    </w:p>
    <w:p>
      <w:pPr>
        <w:pStyle w:val="Heading3"/>
        <w:suppressLineNumbers/>
        <w:spacing w:before="240" w:after="240"/>
        <w:ind w:firstLine="510" w:end="0"/>
        <w:jc w:val="start"/>
        <w:rPr/>
      </w:pPr>
      <w:r>
        <w:rPr>
          <w:rtl w:val="true"/>
        </w:rPr>
        <w:t>משקלן</w:t>
      </w:r>
      <w:r>
        <w:rPr>
          <w:rFonts w:eastAsia="Cambria" w:cs="Cambria"/>
          <w:rtl w:val="true"/>
        </w:rPr>
        <w:t xml:space="preserve"> </w:t>
      </w:r>
      <w:r>
        <w:rPr>
          <w:rtl w:val="true"/>
        </w:rPr>
        <w:t>של</w:t>
      </w:r>
      <w:r>
        <w:rPr>
          <w:rFonts w:eastAsia="Cambria" w:cs="Cambria"/>
          <w:rtl w:val="true"/>
        </w:rPr>
        <w:t xml:space="preserve"> </w:t>
      </w:r>
      <w:r>
        <w:rPr>
          <w:rtl w:val="true"/>
        </w:rPr>
        <w:t>עסקאות</w:t>
      </w:r>
      <w:r>
        <w:rPr>
          <w:rFonts w:eastAsia="Cambria" w:cs="Cambria"/>
          <w:rtl w:val="true"/>
        </w:rPr>
        <w:t xml:space="preserve"> </w:t>
      </w:r>
      <w:r>
        <w:rPr>
          <w:rtl w:val="true"/>
        </w:rPr>
        <w:t>השוואה</w:t>
      </w:r>
      <w:r>
        <w:rPr>
          <w:rFonts w:eastAsia="Cambria" w:cs="Cambria"/>
          <w:rtl w:val="true"/>
        </w:rPr>
        <w:t xml:space="preserve"> </w:t>
      </w:r>
    </w:p>
    <w:p>
      <w:pPr>
        <w:pStyle w:val="Ruller43"/>
        <w:numPr>
          <w:ilvl w:val="0"/>
          <w:numId w:val="14"/>
        </w:numPr>
        <w:spacing w:before="240" w:after="240"/>
        <w:ind w:hanging="510" w:start="510" w:end="0"/>
        <w:jc w:val="both"/>
        <w:rPr>
          <w:rFonts w:ascii="David" w:hAnsi="David" w:cs="David"/>
        </w:rPr>
      </w:pPr>
      <w:r>
        <w:rPr>
          <w:rFonts w:ascii="Miriam" w:hAnsi="Miriam" w:cs="Miriam"/>
          <w:rtl w:val="true"/>
        </w:rPr>
        <w:t xml:space="preserve">בעניין גינאדי </w:t>
      </w:r>
      <w:r>
        <w:rPr>
          <w:rFonts w:ascii="David" w:hAnsi="David" w:cs="David"/>
          <w:rtl w:val="true"/>
        </w:rPr>
        <w:t>עמדנו על כך שבנסיבות מסוימות יש לבכר את הגישה הכלכלית</w:t>
      </w:r>
      <w:r>
        <w:rPr>
          <w:rFonts w:cs="David" w:ascii="David" w:hAnsi="David"/>
          <w:rtl w:val="true"/>
        </w:rPr>
        <w:t xml:space="preserve">, </w:t>
      </w:r>
      <w:r>
        <w:rPr>
          <w:rFonts w:ascii="David" w:hAnsi="David" w:cs="David"/>
          <w:rtl w:val="true"/>
        </w:rPr>
        <w:t xml:space="preserve">כמשמעותה </w:t>
      </w:r>
      <w:r>
        <w:rPr>
          <w:rFonts w:ascii="Miriam" w:hAnsi="Miriam" w:cs="Miriam"/>
          <w:rtl w:val="true"/>
        </w:rPr>
        <w:t>בעניין נועה לב</w:t>
      </w:r>
      <w:r>
        <w:rPr>
          <w:rFonts w:cs="David" w:ascii="David" w:hAnsi="David"/>
          <w:rtl w:val="true"/>
        </w:rPr>
        <w:t xml:space="preserve">. </w:t>
      </w:r>
      <w:r>
        <w:rPr>
          <w:rFonts w:ascii="David" w:hAnsi="David" w:cs="David"/>
          <w:rtl w:val="true"/>
        </w:rPr>
        <w:t>הדברים יפים</w:t>
      </w:r>
      <w:r>
        <w:rPr>
          <w:rFonts w:cs="David" w:ascii="David" w:hAnsi="David"/>
          <w:rtl w:val="true"/>
        </w:rPr>
        <w:t xml:space="preserve">, </w:t>
      </w:r>
      <w:r>
        <w:rPr>
          <w:rFonts w:ascii="David" w:hAnsi="David" w:cs="David"/>
          <w:rtl w:val="true"/>
        </w:rPr>
        <w:t>בשינויים המחויבים</w:t>
      </w:r>
      <w:r>
        <w:rPr>
          <w:rFonts w:cs="David" w:ascii="David" w:hAnsi="David"/>
          <w:rtl w:val="true"/>
        </w:rPr>
        <w:t xml:space="preserve">, </w:t>
      </w:r>
      <w:r>
        <w:rPr>
          <w:rFonts w:ascii="David" w:hAnsi="David" w:cs="David"/>
          <w:rtl w:val="true"/>
        </w:rPr>
        <w:t>גם לענייננו</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השמאית המכריעה חישבה את שיעור ההשבחה במימוש מלא של התוכנית על פי הגישה הכלכלית</w:t>
      </w:r>
      <w:r>
        <w:rPr>
          <w:rFonts w:cs="David" w:ascii="David" w:hAnsi="David"/>
          <w:rtl w:val="true"/>
        </w:rPr>
        <w:t xml:space="preserve">, </w:t>
      </w:r>
      <w:r>
        <w:rPr>
          <w:rFonts w:ascii="David" w:hAnsi="David" w:cs="David"/>
          <w:rtl w:val="true"/>
        </w:rPr>
        <w:t>בדומה לדרך שבה הילכו הצדדים בשומות מטעמם</w:t>
      </w:r>
      <w:r>
        <w:rPr>
          <w:rFonts w:cs="David" w:ascii="David" w:hAnsi="David"/>
          <w:rtl w:val="true"/>
        </w:rPr>
        <w:t xml:space="preserve">. </w:t>
      </w:r>
      <w:r>
        <w:rPr>
          <w:rFonts w:ascii="David" w:hAnsi="David" w:cs="David"/>
          <w:rtl w:val="true"/>
        </w:rPr>
        <w:t>לצורך כך</w:t>
      </w:r>
      <w:r>
        <w:rPr>
          <w:rFonts w:cs="David" w:ascii="David" w:hAnsi="David"/>
          <w:rtl w:val="true"/>
        </w:rPr>
        <w:t xml:space="preserve">, </w:t>
      </w:r>
      <w:r>
        <w:rPr>
          <w:rFonts w:ascii="David" w:hAnsi="David" w:cs="David"/>
          <w:rtl w:val="true"/>
        </w:rPr>
        <w:t>שוויו של מ</w:t>
      </w:r>
      <w:r>
        <w:rPr>
          <w:rFonts w:cs="David" w:ascii="David" w:hAnsi="David"/>
          <w:rtl w:val="true"/>
        </w:rPr>
        <w:t>"</w:t>
      </w:r>
      <w:r>
        <w:rPr>
          <w:rFonts w:ascii="David" w:hAnsi="David" w:cs="David"/>
          <w:rtl w:val="true"/>
        </w:rPr>
        <w:t xml:space="preserve">ר בנוי נקבע בערך של </w:t>
      </w:r>
      <w:r>
        <w:rPr>
          <w:rFonts w:cs="David" w:ascii="David" w:hAnsi="David"/>
        </w:rPr>
        <w:t>20,000</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w:t>
      </w:r>
      <w:r>
        <w:rPr>
          <w:rFonts w:cs="David" w:ascii="David" w:hAnsi="David"/>
          <w:rtl w:val="true"/>
        </w:rPr>
        <w:t xml:space="preserve">, </w:t>
      </w:r>
      <w:r>
        <w:rPr>
          <w:rFonts w:ascii="David" w:hAnsi="David" w:cs="David"/>
          <w:rtl w:val="true"/>
        </w:rPr>
        <w:t>וזאת על יסוד ממוצע בין השווי שנקבע בשומות הוועדה המקומית לבין השווי שנקבע בשומות דמרי</w:t>
      </w:r>
      <w:r>
        <w:rPr>
          <w:rFonts w:cs="David" w:ascii="David" w:hAnsi="David"/>
          <w:rtl w:val="true"/>
        </w:rPr>
        <w:t xml:space="preserve">. </w:t>
      </w:r>
      <w:r>
        <w:rPr>
          <w:rFonts w:ascii="David" w:hAnsi="David" w:cs="David"/>
          <w:rtl w:val="true"/>
        </w:rPr>
        <w:t>שווי זה נסמך על עשרות עסקאות במיזמים בעלי מאפיינים בני</w:t>
      </w:r>
      <w:r>
        <w:rPr>
          <w:rFonts w:cs="David" w:ascii="David" w:hAnsi="David"/>
          <w:rtl w:val="true"/>
        </w:rPr>
        <w:t>-</w:t>
      </w:r>
      <w:r>
        <w:rPr>
          <w:rFonts w:ascii="David" w:hAnsi="David" w:cs="David"/>
          <w:rtl w:val="true"/>
        </w:rPr>
        <w:t>השוואה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בהליכים שלפנינו טוענת הוועדה המקומית כי התוצאה שאליה הגיעה השמאית המכריעה אינה נותנת ביטוי לעסקאות המכר שנערכו במתחם</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 xml:space="preserve">מעסקאות אלה נגזר שווי של </w:t>
      </w:r>
      <w:r>
        <w:rPr>
          <w:rFonts w:cs="David" w:ascii="David" w:hAnsi="David"/>
        </w:rPr>
        <w:t>27,637</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 למ</w:t>
      </w:r>
      <w:r>
        <w:rPr>
          <w:rFonts w:cs="David" w:ascii="David" w:hAnsi="David"/>
          <w:rtl w:val="true"/>
        </w:rPr>
        <w:t>"</w:t>
      </w:r>
      <w:r>
        <w:rPr>
          <w:rFonts w:ascii="David" w:hAnsi="David" w:cs="David"/>
          <w:rtl w:val="true"/>
        </w:rPr>
        <w:t>ר בנוי</w:t>
      </w:r>
      <w:r>
        <w:rPr>
          <w:rFonts w:cs="David" w:ascii="David" w:hAnsi="David"/>
          <w:rtl w:val="true"/>
        </w:rPr>
        <w:t xml:space="preserve">, </w:t>
      </w:r>
      <w:r>
        <w:rPr>
          <w:rFonts w:ascii="David" w:hAnsi="David" w:cs="David"/>
          <w:rtl w:val="true"/>
        </w:rPr>
        <w:t>נכון למועד מימוש התוכנית</w:t>
      </w:r>
      <w:r>
        <w:rPr>
          <w:rFonts w:cs="David" w:ascii="David" w:hAnsi="David"/>
          <w:rtl w:val="true"/>
        </w:rPr>
        <w:t xml:space="preserve">, </w:t>
      </w:r>
      <w:r>
        <w:rPr>
          <w:rFonts w:ascii="David" w:hAnsi="David" w:cs="David"/>
          <w:rtl w:val="true"/>
        </w:rPr>
        <w:t>שווי הגבוה בכ</w:t>
      </w:r>
      <w:r>
        <w:rPr>
          <w:rFonts w:cs="David" w:ascii="David" w:hAnsi="David"/>
          <w:rtl w:val="true"/>
        </w:rPr>
        <w:t>-</w:t>
      </w:r>
      <w:r>
        <w:rPr>
          <w:rFonts w:cs="David" w:ascii="David" w:hAnsi="David"/>
        </w:rPr>
        <w:t>12%</w:t>
      </w:r>
      <w:r>
        <w:rPr>
          <w:rFonts w:cs="David" w:ascii="David" w:hAnsi="David"/>
          <w:rtl w:val="true"/>
        </w:rPr>
        <w:t xml:space="preserve"> </w:t>
      </w:r>
      <w:r>
        <w:rPr>
          <w:rFonts w:ascii="David" w:hAnsi="David" w:cs="David"/>
          <w:rtl w:val="true"/>
        </w:rPr>
        <w:t>אף מזה שנקבע בשומות שנערכו מטעמה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דין הטענה להידחות</w:t>
      </w:r>
      <w:r>
        <w:rPr>
          <w:rFonts w:cs="David" w:ascii="David" w:hAnsi="David"/>
          <w:rtl w:val="true"/>
        </w:rPr>
        <w:t xml:space="preserve">. </w:t>
      </w:r>
      <w:r>
        <w:rPr>
          <w:rFonts w:ascii="David" w:hAnsi="David" w:cs="David"/>
          <w:rtl w:val="true"/>
        </w:rPr>
        <w:t>בנסיבות העניין</w:t>
      </w:r>
      <w:r>
        <w:rPr>
          <w:rFonts w:cs="David" w:ascii="David" w:hAnsi="David"/>
          <w:rtl w:val="true"/>
        </w:rPr>
        <w:t xml:space="preserve">, </w:t>
      </w:r>
      <w:r>
        <w:rPr>
          <w:rFonts w:ascii="David" w:hAnsi="David" w:cs="David"/>
          <w:rtl w:val="true"/>
        </w:rPr>
        <w:t>אין הצדקה להעדיף שתי עסקאות בודדות שנערכו במתחם על פני מסד הנתונים הרחב שעמד לפני השמאית המכריעה</w:t>
      </w:r>
      <w:r>
        <w:rPr>
          <w:rFonts w:cs="David" w:ascii="David" w:hAnsi="David"/>
          <w:rtl w:val="true"/>
        </w:rPr>
        <w:t xml:space="preserve">, </w:t>
      </w:r>
      <w:r>
        <w:rPr>
          <w:rFonts w:ascii="David" w:hAnsi="David" w:cs="David"/>
          <w:rtl w:val="true"/>
        </w:rPr>
        <w:t>הכולל עשרות עסקאות בנכסים בעלי מאפיינים בני</w:t>
      </w:r>
      <w:r>
        <w:rPr>
          <w:rFonts w:cs="David" w:ascii="David" w:hAnsi="David"/>
          <w:rtl w:val="true"/>
        </w:rPr>
        <w:t>-</w:t>
      </w:r>
      <w:r>
        <w:rPr>
          <w:rFonts w:ascii="David" w:hAnsi="David" w:cs="David"/>
          <w:rtl w:val="true"/>
        </w:rPr>
        <w:t>השוואה</w:t>
      </w:r>
      <w:r>
        <w:rPr>
          <w:rFonts w:cs="David" w:ascii="David" w:hAnsi="David"/>
          <w:rtl w:val="true"/>
        </w:rPr>
        <w:t xml:space="preserve">. </w:t>
      </w:r>
      <w:r>
        <w:rPr>
          <w:rFonts w:ascii="David" w:hAnsi="David" w:cs="David"/>
          <w:rtl w:val="true"/>
        </w:rPr>
        <w:t>העדפה כאמור אינה מניחה את הדעת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בפסק הדין ב</w:t>
      </w:r>
      <w:hyperlink r:id="rId26">
        <w:r>
          <w:rPr>
            <w:rStyle w:val="Hyperlink"/>
            <w:rFonts w:ascii="David" w:hAnsi="David" w:cs="David"/>
            <w:color w:val="0000FF"/>
            <w:u w:val="single"/>
            <w:rtl w:val="true"/>
          </w:rPr>
          <w:t>בר</w:t>
        </w:r>
        <w:r>
          <w:rPr>
            <w:rStyle w:val="Hyperlink"/>
            <w:rFonts w:cs="David" w:ascii="David" w:hAnsi="David"/>
            <w:color w:val="0000FF"/>
            <w:u w:val="single"/>
            <w:rtl w:val="true"/>
          </w:rPr>
          <w:t>"</w:t>
        </w:r>
        <w:r>
          <w:rPr>
            <w:rStyle w:val="Hyperlink"/>
            <w:rFonts w:ascii="David" w:hAnsi="David" w:cs="David"/>
            <w:color w:val="0000FF"/>
            <w:u w:val="single"/>
            <w:rtl w:val="true"/>
          </w:rPr>
          <w:t xml:space="preserve">ם </w:t>
        </w:r>
        <w:r>
          <w:rPr>
            <w:rStyle w:val="Hyperlink"/>
            <w:rFonts w:cs="David" w:ascii="David" w:hAnsi="David"/>
            <w:color w:val="0000FF"/>
            <w:u w:val="single"/>
          </w:rPr>
          <w:t>10212/16</w:t>
        </w:r>
      </w:hyperlink>
      <w:r>
        <w:rPr>
          <w:rFonts w:cs="David" w:ascii="David" w:hAnsi="David"/>
          <w:rtl w:val="true"/>
        </w:rPr>
        <w:t xml:space="preserve"> </w:t>
      </w:r>
      <w:r>
        <w:rPr>
          <w:rFonts w:ascii="Miriam" w:hAnsi="Miriam" w:cs="Miriam"/>
          <w:rtl w:val="true"/>
        </w:rPr>
        <w:t xml:space="preserve">דלי דליה ועוד </w:t>
      </w:r>
      <w:r>
        <w:rPr>
          <w:rFonts w:cs="Miriam" w:ascii="Miriam" w:hAnsi="Miriam"/>
        </w:rPr>
        <w:t>333</w:t>
      </w:r>
      <w:r>
        <w:rPr>
          <w:rFonts w:cs="Miriam" w:ascii="Miriam" w:hAnsi="Miriam"/>
          <w:rtl w:val="true"/>
        </w:rPr>
        <w:t xml:space="preserve"> </w:t>
      </w:r>
      <w:r>
        <w:rPr>
          <w:rFonts w:ascii="Miriam" w:hAnsi="Miriam" w:cs="Miriam"/>
          <w:rtl w:val="true"/>
        </w:rPr>
        <w:t>אח</w:t>
      </w:r>
      <w:r>
        <w:rPr>
          <w:rFonts w:cs="Miriam" w:ascii="Miriam" w:hAnsi="Miriam"/>
          <w:rtl w:val="true"/>
        </w:rPr>
        <w:t xml:space="preserve">' </w:t>
      </w:r>
      <w:r>
        <w:rPr>
          <w:rFonts w:ascii="Miriam" w:hAnsi="Miriam" w:cs="Miriam"/>
          <w:rtl w:val="true"/>
        </w:rPr>
        <w:t>נ</w:t>
      </w:r>
      <w:r>
        <w:rPr>
          <w:rFonts w:cs="Miriam" w:ascii="Miriam" w:hAnsi="Miriam"/>
          <w:rtl w:val="true"/>
        </w:rPr>
        <w:t xml:space="preserve">' </w:t>
      </w:r>
      <w:r>
        <w:rPr>
          <w:rFonts w:ascii="Miriam" w:hAnsi="Miriam" w:cs="Miriam"/>
          <w:rtl w:val="true"/>
        </w:rPr>
        <w:t>הוועדה המקומית לתכנון ולבנייה הרצליה</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1.4.2020</w:t>
      </w:r>
      <w:r>
        <w:rPr>
          <w:rFonts w:cs="David" w:ascii="David" w:hAnsi="David"/>
          <w:rtl w:val="true"/>
        </w:rPr>
        <w:t xml:space="preserve">), </w:t>
      </w:r>
      <w:r>
        <w:rPr>
          <w:rFonts w:ascii="David" w:hAnsi="David" w:cs="David"/>
          <w:rtl w:val="true"/>
        </w:rPr>
        <w:t>נקבע כי הערכת שוויים של מקרקעין נדרשת להישען על אמות מידה אובייקטיביות</w:t>
      </w:r>
      <w:r>
        <w:rPr>
          <w:rFonts w:cs="David" w:ascii="David" w:hAnsi="David"/>
          <w:rtl w:val="true"/>
        </w:rPr>
        <w:t xml:space="preserve">, </w:t>
      </w:r>
      <w:r>
        <w:rPr>
          <w:rFonts w:ascii="David" w:hAnsi="David" w:cs="David"/>
          <w:rtl w:val="true"/>
        </w:rPr>
        <w:t>להבדיל מהמחיר הסובייקטיבי שאדם פלוני נכון לשלם בעד נכס מסוים</w:t>
      </w:r>
      <w:r>
        <w:rPr>
          <w:rFonts w:cs="David" w:ascii="David" w:hAnsi="David"/>
          <w:rtl w:val="true"/>
        </w:rPr>
        <w:t xml:space="preserve">. </w:t>
      </w:r>
      <w:r>
        <w:rPr>
          <w:rFonts w:ascii="David" w:hAnsi="David" w:cs="David"/>
          <w:rtl w:val="true"/>
        </w:rPr>
        <w:t>מלאכת השומה מבקשת להתחקות</w:t>
      </w:r>
      <w:r>
        <w:rPr>
          <w:rFonts w:cs="David" w:ascii="David" w:hAnsi="David"/>
          <w:rtl w:val="true"/>
        </w:rPr>
        <w:t xml:space="preserve">, </w:t>
      </w:r>
      <w:r>
        <w:rPr>
          <w:rFonts w:ascii="David" w:hAnsi="David" w:cs="David"/>
          <w:rtl w:val="true"/>
        </w:rPr>
        <w:t>ככל הניתן</w:t>
      </w:r>
      <w:r>
        <w:rPr>
          <w:rFonts w:cs="David" w:ascii="David" w:hAnsi="David"/>
          <w:rtl w:val="true"/>
        </w:rPr>
        <w:t xml:space="preserve">, </w:t>
      </w:r>
      <w:r>
        <w:rPr>
          <w:rFonts w:ascii="David" w:hAnsi="David" w:cs="David"/>
          <w:rtl w:val="true"/>
        </w:rPr>
        <w:t>אחר שווי אובייקטיבי שיהא מקובל על ציבור בלתי מסוים של קונים ומוכרים</w:t>
      </w:r>
      <w:r>
        <w:rPr>
          <w:rFonts w:cs="David" w:ascii="David" w:hAnsi="David"/>
          <w:rtl w:val="true"/>
        </w:rPr>
        <w:t xml:space="preserve">. </w:t>
      </w:r>
      <w:r>
        <w:rPr>
          <w:rFonts w:ascii="David" w:hAnsi="David" w:cs="David"/>
          <w:rtl w:val="true"/>
        </w:rPr>
        <w:t>ככל שלהערכת השווי מוחדרות הערכות כלליות</w:t>
      </w:r>
      <w:r>
        <w:rPr>
          <w:rFonts w:cs="David" w:ascii="David" w:hAnsi="David"/>
          <w:rtl w:val="true"/>
        </w:rPr>
        <w:t xml:space="preserve">, </w:t>
      </w:r>
      <w:r>
        <w:rPr>
          <w:rFonts w:ascii="David" w:hAnsi="David" w:cs="David"/>
          <w:rtl w:val="true"/>
        </w:rPr>
        <w:t>ואף ספקולטיביות</w:t>
      </w:r>
      <w:r>
        <w:rPr>
          <w:rFonts w:cs="David" w:ascii="David" w:hAnsi="David"/>
          <w:rtl w:val="true"/>
        </w:rPr>
        <w:t xml:space="preserve">, </w:t>
      </w:r>
      <w:r>
        <w:rPr>
          <w:rFonts w:ascii="David" w:hAnsi="David" w:cs="David"/>
          <w:rtl w:val="true"/>
        </w:rPr>
        <w:t>בדבר שינוי תכנוני עתידי</w:t>
      </w:r>
      <w:r>
        <w:rPr>
          <w:rFonts w:cs="David" w:ascii="David" w:hAnsi="David"/>
          <w:rtl w:val="true"/>
        </w:rPr>
        <w:t xml:space="preserve">, </w:t>
      </w:r>
      <w:r>
        <w:rPr>
          <w:rFonts w:ascii="David" w:hAnsi="David" w:cs="David"/>
          <w:rtl w:val="true"/>
        </w:rPr>
        <w:t>כך גובר הממד הסובייקטיבי שבה</w:t>
      </w:r>
      <w:r>
        <w:rPr>
          <w:rFonts w:cs="David" w:ascii="David" w:hAnsi="David"/>
          <w:rtl w:val="true"/>
        </w:rPr>
        <w:t xml:space="preserve">, </w:t>
      </w:r>
      <w:r>
        <w:rPr>
          <w:rFonts w:ascii="David" w:hAnsi="David" w:cs="David"/>
          <w:rtl w:val="true"/>
        </w:rPr>
        <w:t xml:space="preserve">שכן הערכות מעין אלה מצויות מטבען בתחום של ציפיות ונטילת סיכונים </w:t>
      </w:r>
      <w:r>
        <w:rPr>
          <w:rFonts w:cs="David" w:ascii="David" w:hAnsi="David"/>
          <w:rtl w:val="true"/>
        </w:rPr>
        <w:t>(</w:t>
      </w:r>
      <w:r>
        <w:rPr>
          <w:rFonts w:ascii="David" w:hAnsi="David" w:cs="David"/>
          <w:rtl w:val="true"/>
        </w:rPr>
        <w:t xml:space="preserve">בפסקה </w:t>
      </w:r>
      <w:r>
        <w:rPr>
          <w:rFonts w:cs="David" w:ascii="David" w:hAnsi="David"/>
        </w:rPr>
        <w:t>104</w:t>
      </w:r>
      <w:r>
        <w:rPr>
          <w:rFonts w:cs="David" w:ascii="David" w:hAnsi="David"/>
          <w:rtl w:val="true"/>
        </w:rPr>
        <w:t xml:space="preserve"> </w:t>
      </w:r>
      <w:r>
        <w:rPr>
          <w:rFonts w:ascii="David" w:hAnsi="David" w:cs="David"/>
          <w:rtl w:val="true"/>
        </w:rPr>
        <w:t>לפסק דינה של כבוד השופטת ברק</w:t>
      </w:r>
      <w:r>
        <w:rPr>
          <w:rFonts w:cs="David" w:ascii="David" w:hAnsi="David"/>
          <w:rtl w:val="true"/>
        </w:rPr>
        <w:t>-</w:t>
      </w:r>
      <w:r>
        <w:rPr>
          <w:rFonts w:ascii="David" w:hAnsi="David" w:cs="David"/>
          <w:rtl w:val="true"/>
        </w:rPr>
        <w:t>ארז</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לטעמנו</w:t>
      </w:r>
      <w:r>
        <w:rPr>
          <w:rFonts w:cs="David" w:ascii="David" w:hAnsi="David"/>
          <w:rtl w:val="true"/>
        </w:rPr>
        <w:t xml:space="preserve">, </w:t>
      </w:r>
      <w:r>
        <w:rPr>
          <w:rFonts w:ascii="David" w:hAnsi="David" w:cs="David"/>
          <w:rtl w:val="true"/>
        </w:rPr>
        <w:t>השומות המכריעות ומסד הנתונים הרחב שעליו הן נסמכות עולים בקנה אחד עם עקרונות אלה</w:t>
      </w:r>
      <w:r>
        <w:rPr>
          <w:rFonts w:cs="David" w:ascii="David" w:hAnsi="David"/>
          <w:rtl w:val="true"/>
        </w:rPr>
        <w:t xml:space="preserve">. </w:t>
      </w:r>
      <w:r>
        <w:rPr>
          <w:rFonts w:ascii="David" w:hAnsi="David" w:cs="David"/>
          <w:rtl w:val="true"/>
        </w:rPr>
        <w:t>מנגד</w:t>
      </w:r>
      <w:r>
        <w:rPr>
          <w:rFonts w:cs="David" w:ascii="David" w:hAnsi="David"/>
          <w:rtl w:val="true"/>
        </w:rPr>
        <w:t xml:space="preserve">, </w:t>
      </w:r>
      <w:r>
        <w:rPr>
          <w:rFonts w:ascii="David" w:hAnsi="David" w:cs="David"/>
          <w:rtl w:val="true"/>
        </w:rPr>
        <w:t>הוועדה המקומית מבקשת לבסס את השווי על עסקאות בודדות שנערכו במתחם</w:t>
      </w:r>
      <w:r>
        <w:rPr>
          <w:rFonts w:cs="David" w:ascii="David" w:hAnsi="David"/>
          <w:rtl w:val="true"/>
        </w:rPr>
        <w:t xml:space="preserve">, </w:t>
      </w:r>
      <w:r>
        <w:rPr>
          <w:rFonts w:ascii="David" w:hAnsi="David" w:cs="David"/>
          <w:rtl w:val="true"/>
        </w:rPr>
        <w:t>תוך הנחות שונות באשר לניתוחן ולמשמעות שיש לייחס להן</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הניתוח שערכה הוועדה המקומית בהקשר זה יוצא מנקודת הנחה כי את התמורה בעסקאות שנערכו במתחם יש לבחון במונחי ערך עתידי</w:t>
      </w:r>
      <w:r>
        <w:rPr>
          <w:rFonts w:cs="David" w:ascii="David" w:hAnsi="David"/>
          <w:rtl w:val="true"/>
        </w:rPr>
        <w:t xml:space="preserve">. </w:t>
      </w:r>
      <w:r>
        <w:rPr>
          <w:rFonts w:ascii="David" w:hAnsi="David" w:cs="David"/>
          <w:rtl w:val="true"/>
        </w:rPr>
        <w:t>ואולם</w:t>
      </w:r>
      <w:r>
        <w:rPr>
          <w:rFonts w:cs="David" w:ascii="David" w:hAnsi="David"/>
          <w:rtl w:val="true"/>
        </w:rPr>
        <w:t xml:space="preserve">, </w:t>
      </w:r>
      <w:r>
        <w:rPr>
          <w:rFonts w:ascii="David" w:hAnsi="David" w:cs="David"/>
          <w:rtl w:val="true"/>
        </w:rPr>
        <w:t>אף לשיטתה</w:t>
      </w:r>
      <w:r>
        <w:rPr>
          <w:rFonts w:cs="David" w:ascii="David" w:hAnsi="David"/>
          <w:rtl w:val="true"/>
        </w:rPr>
        <w:t xml:space="preserve">, </w:t>
      </w:r>
      <w:r>
        <w:rPr>
          <w:rFonts w:ascii="David" w:hAnsi="David" w:cs="David"/>
          <w:rtl w:val="true"/>
        </w:rPr>
        <w:t>היוון התמורה לערכה הנוכחי</w:t>
      </w:r>
      <w:r>
        <w:rPr>
          <w:rFonts w:cs="David" w:ascii="David" w:hAnsi="David"/>
          <w:rtl w:val="true"/>
        </w:rPr>
        <w:t xml:space="preserve">, </w:t>
      </w:r>
      <w:r>
        <w:rPr>
          <w:rFonts w:ascii="David" w:hAnsi="David" w:cs="David"/>
          <w:rtl w:val="true"/>
        </w:rPr>
        <w:t>בהתאם למדיניות התמורות שקבעה הוועדה המקומית למיזמי פינוי ובינוי</w:t>
      </w:r>
      <w:r>
        <w:rPr>
          <w:rFonts w:cs="David" w:ascii="David" w:hAnsi="David"/>
          <w:rtl w:val="true"/>
        </w:rPr>
        <w:t xml:space="preserve">, </w:t>
      </w:r>
      <w:r>
        <w:rPr>
          <w:rFonts w:ascii="David" w:hAnsi="David" w:cs="David"/>
          <w:rtl w:val="true"/>
        </w:rPr>
        <w:t xml:space="preserve">מוליך לשווי של </w:t>
      </w:r>
      <w:r>
        <w:rPr>
          <w:rFonts w:cs="David" w:ascii="David" w:hAnsi="David"/>
        </w:rPr>
        <w:t>20,645</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 למ</w:t>
      </w:r>
      <w:r>
        <w:rPr>
          <w:rFonts w:cs="David" w:ascii="David" w:hAnsi="David"/>
          <w:rtl w:val="true"/>
        </w:rPr>
        <w:t>"</w:t>
      </w:r>
      <w:r>
        <w:rPr>
          <w:rFonts w:ascii="David" w:hAnsi="David" w:cs="David"/>
          <w:rtl w:val="true"/>
        </w:rPr>
        <w:t>ר בנוי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כלומר</w:t>
      </w:r>
      <w:r>
        <w:rPr>
          <w:rFonts w:cs="David" w:ascii="David" w:hAnsi="David"/>
          <w:rtl w:val="true"/>
        </w:rPr>
        <w:t xml:space="preserve">, </w:t>
      </w:r>
      <w:r>
        <w:rPr>
          <w:rFonts w:ascii="David" w:hAnsi="David" w:cs="David"/>
          <w:rtl w:val="true"/>
        </w:rPr>
        <w:t>הוועדה המקומית נכונה להניח שניתוח העסקאות במונחי ערך נוכחי משקף שווי הקרוב לזה שקבעה השמאית המכריעה</w:t>
      </w:r>
      <w:r>
        <w:rPr>
          <w:rFonts w:cs="David" w:ascii="David" w:hAnsi="David"/>
          <w:rtl w:val="true"/>
        </w:rPr>
        <w:t xml:space="preserve">. </w:t>
      </w:r>
      <w:r>
        <w:rPr>
          <w:rFonts w:ascii="David" w:hAnsi="David" w:cs="David"/>
          <w:rtl w:val="true"/>
        </w:rPr>
        <w:t>מקור המחלוקת הוא בגישה שיש לראות בתמורה שנקבעה בעסקאות משום ערך עתידי של השקעה אשר הסיכון הגלום בה התממש בפועל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גישה זו אין בידינו לקבל</w:t>
      </w:r>
      <w:r>
        <w:rPr>
          <w:rFonts w:cs="David" w:ascii="David" w:hAnsi="David"/>
          <w:rtl w:val="true"/>
        </w:rPr>
        <w:t xml:space="preserve">. </w:t>
      </w:r>
      <w:r>
        <w:rPr>
          <w:rFonts w:ascii="David" w:hAnsi="David" w:cs="David"/>
          <w:rtl w:val="true"/>
        </w:rPr>
        <w:t>את שוויין של העסקאות שנערכו במתחם יש לבחון נכון למועד הקובע לתוכנית</w:t>
      </w:r>
      <w:r>
        <w:rPr>
          <w:rFonts w:cs="David" w:ascii="David" w:hAnsi="David"/>
          <w:rtl w:val="true"/>
        </w:rPr>
        <w:t xml:space="preserve">, </w:t>
      </w:r>
      <w:r>
        <w:rPr>
          <w:rFonts w:ascii="David" w:hAnsi="David" w:cs="David"/>
          <w:rtl w:val="true"/>
        </w:rPr>
        <w:t>ולא מנקודת מבט מאוחרת</w:t>
      </w:r>
      <w:r>
        <w:rPr>
          <w:rFonts w:cs="David" w:ascii="David" w:hAnsi="David"/>
          <w:rtl w:val="true"/>
        </w:rPr>
        <w:t xml:space="preserve">, </w:t>
      </w:r>
      <w:r>
        <w:rPr>
          <w:rFonts w:ascii="David" w:hAnsi="David" w:cs="David"/>
          <w:rtl w:val="true"/>
        </w:rPr>
        <w:t>לאחר שהתוכנית מומשה והסיכונים שנלוו לה התבהרו</w:t>
      </w:r>
      <w:r>
        <w:rPr>
          <w:rFonts w:cs="David" w:ascii="David" w:hAnsi="David"/>
          <w:rtl w:val="true"/>
        </w:rPr>
        <w:t xml:space="preserve">. </w:t>
      </w:r>
      <w:r>
        <w:rPr>
          <w:rFonts w:ascii="David" w:hAnsi="David" w:cs="David"/>
          <w:rtl w:val="true"/>
        </w:rPr>
        <w:t>משכך</w:t>
      </w:r>
      <w:r>
        <w:rPr>
          <w:rFonts w:cs="David" w:ascii="David" w:hAnsi="David"/>
          <w:rtl w:val="true"/>
        </w:rPr>
        <w:t xml:space="preserve">, </w:t>
      </w:r>
      <w:r>
        <w:rPr>
          <w:rFonts w:ascii="David" w:hAnsi="David" w:cs="David"/>
          <w:rtl w:val="true"/>
        </w:rPr>
        <w:t>דווקא החישוב שהציגה הוועדה המקומית באשר לערכן הנוכחי של עסקאות אלה הוא שמשקף את נקודת הזמן הרלוונטית להערכת השווי</w:t>
      </w:r>
      <w:r>
        <w:rPr>
          <w:rFonts w:cs="David" w:ascii="David" w:hAnsi="David"/>
          <w:rtl w:val="true"/>
        </w:rPr>
        <w:t xml:space="preserve">, </w:t>
      </w:r>
      <w:r>
        <w:rPr>
          <w:rFonts w:ascii="David" w:hAnsi="David" w:cs="David"/>
          <w:rtl w:val="true"/>
        </w:rPr>
        <w:t>ועל כן יש להעדיפו בנסיבות העניין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ערך זה תואם</w:t>
      </w:r>
      <w:r>
        <w:rPr>
          <w:rFonts w:cs="David" w:ascii="David" w:hAnsi="David"/>
          <w:rtl w:val="true"/>
        </w:rPr>
        <w:t xml:space="preserve">, </w:t>
      </w:r>
      <w:r>
        <w:rPr>
          <w:rFonts w:ascii="David" w:hAnsi="David" w:cs="David"/>
          <w:rtl w:val="true"/>
        </w:rPr>
        <w:t>בעיקרו של דבר</w:t>
      </w:r>
      <w:r>
        <w:rPr>
          <w:rFonts w:cs="David" w:ascii="David" w:hAnsi="David"/>
          <w:rtl w:val="true"/>
        </w:rPr>
        <w:t xml:space="preserve">, </w:t>
      </w:r>
      <w:r>
        <w:rPr>
          <w:rFonts w:ascii="David" w:hAnsi="David" w:cs="David"/>
          <w:rtl w:val="true"/>
        </w:rPr>
        <w:t>את השווי שקבעה השמאית המכריעה</w:t>
      </w:r>
      <w:r>
        <w:rPr>
          <w:rFonts w:cs="David" w:ascii="David" w:hAnsi="David"/>
          <w:rtl w:val="true"/>
        </w:rPr>
        <w:t xml:space="preserve">. </w:t>
      </w:r>
      <w:r>
        <w:rPr>
          <w:rFonts w:ascii="David" w:hAnsi="David" w:cs="David"/>
          <w:rtl w:val="true"/>
        </w:rPr>
        <w:t>בנסיבות אלה</w:t>
      </w:r>
      <w:r>
        <w:rPr>
          <w:rFonts w:cs="David" w:ascii="David" w:hAnsi="David"/>
          <w:rtl w:val="true"/>
        </w:rPr>
        <w:t xml:space="preserve">, </w:t>
      </w:r>
      <w:r>
        <w:rPr>
          <w:rFonts w:ascii="David" w:hAnsi="David" w:cs="David"/>
          <w:rtl w:val="true"/>
        </w:rPr>
        <w:t>לא מצאנו עילה להתערב בקביעתה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נוסף על כך</w:t>
      </w:r>
      <w:r>
        <w:rPr>
          <w:rFonts w:cs="David" w:ascii="David" w:hAnsi="David"/>
          <w:rtl w:val="true"/>
        </w:rPr>
        <w:t xml:space="preserve">, </w:t>
      </w:r>
      <w:r>
        <w:rPr>
          <w:rFonts w:ascii="David" w:hAnsi="David" w:cs="David"/>
          <w:rtl w:val="true"/>
        </w:rPr>
        <w:t>לא מצאנו ממש בטענת הוועדה המקומית כי לא ניתן משקל מספק לטענותיה בנוגע לפרויקט שילנסקי</w:t>
      </w:r>
      <w:r>
        <w:rPr>
          <w:rFonts w:cs="David" w:ascii="David" w:hAnsi="David"/>
          <w:rtl w:val="true"/>
        </w:rPr>
        <w:t xml:space="preserve">. </w:t>
      </w:r>
      <w:r>
        <w:rPr>
          <w:rFonts w:ascii="David" w:hAnsi="David" w:cs="David"/>
          <w:rtl w:val="true"/>
        </w:rPr>
        <w:t>בהקשר זה הוצגו לנו הנחות שונות באשר להתאמות שנדרשו בפרויקט לאחר מתן היתר הבנייה הראשון</w:t>
      </w:r>
      <w:r>
        <w:rPr>
          <w:rFonts w:cs="David" w:ascii="David" w:hAnsi="David"/>
          <w:rtl w:val="true"/>
        </w:rPr>
        <w:t xml:space="preserve">, </w:t>
      </w:r>
      <w:r>
        <w:rPr>
          <w:rFonts w:ascii="David" w:hAnsi="David" w:cs="David"/>
          <w:rtl w:val="true"/>
        </w:rPr>
        <w:t>או המרכזי</w:t>
      </w:r>
      <w:r>
        <w:rPr>
          <w:rFonts w:cs="David" w:ascii="David" w:hAnsi="David"/>
          <w:rtl w:val="true"/>
        </w:rPr>
        <w:t xml:space="preserve">, </w:t>
      </w:r>
      <w:r>
        <w:rPr>
          <w:rFonts w:ascii="David" w:hAnsi="David" w:cs="David"/>
          <w:rtl w:val="true"/>
        </w:rPr>
        <w:t>מבין ההיתרים שניתנו בו</w:t>
      </w:r>
      <w:r>
        <w:rPr>
          <w:rFonts w:cs="David" w:ascii="David" w:hAnsi="David"/>
          <w:rtl w:val="true"/>
        </w:rPr>
        <w:t xml:space="preserve">, </w:t>
      </w:r>
      <w:r>
        <w:rPr>
          <w:rFonts w:ascii="David" w:hAnsi="David" w:cs="David"/>
          <w:rtl w:val="true"/>
        </w:rPr>
        <w:t xml:space="preserve">באופן שלכאורה מצביע על </w:t>
      </w:r>
      <w:r>
        <w:rPr>
          <w:rFonts w:cs="David" w:ascii="David" w:hAnsi="David"/>
          <w:rtl w:val="true"/>
        </w:rPr>
        <w:t>"</w:t>
      </w:r>
      <w:r>
        <w:rPr>
          <w:rFonts w:ascii="David" w:hAnsi="David" w:cs="David"/>
          <w:rtl w:val="true"/>
        </w:rPr>
        <w:t>מיתוג בעייתי</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אלא שהנחות אלה לא הונחו על תשתית מספקת</w:t>
      </w:r>
      <w:r>
        <w:rPr>
          <w:rFonts w:cs="David" w:ascii="David" w:hAnsi="David"/>
          <w:rtl w:val="true"/>
        </w:rPr>
        <w:t xml:space="preserve">. </w:t>
      </w:r>
      <w:r>
        <w:rPr>
          <w:rFonts w:ascii="David" w:hAnsi="David" w:cs="David"/>
          <w:rtl w:val="true"/>
        </w:rPr>
        <w:t>יתרה מכך</w:t>
      </w:r>
      <w:r>
        <w:rPr>
          <w:rFonts w:cs="David" w:ascii="David" w:hAnsi="David"/>
          <w:rtl w:val="true"/>
        </w:rPr>
        <w:t xml:space="preserve">, </w:t>
      </w:r>
      <w:r>
        <w:rPr>
          <w:rFonts w:ascii="David" w:hAnsi="David" w:cs="David"/>
          <w:rtl w:val="true"/>
        </w:rPr>
        <w:t>הן אינן נותנות משקל לכך שערכי השווי שהוצגו ביחס לפרויקט זה משקפים את מצבו לאחר שאירועו בו השינויים הנטענים</w:t>
      </w:r>
      <w:r>
        <w:rPr>
          <w:rFonts w:cs="David" w:ascii="David" w:hAnsi="David"/>
          <w:rtl w:val="true"/>
        </w:rPr>
        <w:t xml:space="preserve">, </w:t>
      </w:r>
      <w:r>
        <w:rPr>
          <w:rFonts w:ascii="David" w:hAnsi="David" w:cs="David"/>
          <w:rtl w:val="true"/>
        </w:rPr>
        <w:t>ככל שאכן נדרשו</w:t>
      </w:r>
      <w:r>
        <w:rPr>
          <w:rFonts w:cs="David" w:ascii="David" w:hAnsi="David"/>
          <w:rtl w:val="true"/>
        </w:rPr>
        <w:t xml:space="preserve">. </w:t>
      </w:r>
      <w:r>
        <w:rPr>
          <w:rFonts w:ascii="David" w:hAnsi="David" w:cs="David"/>
          <w:rtl w:val="true"/>
        </w:rPr>
        <w:t>מכל מקום</w:t>
      </w:r>
      <w:r>
        <w:rPr>
          <w:rFonts w:cs="David" w:ascii="David" w:hAnsi="David"/>
          <w:rtl w:val="true"/>
        </w:rPr>
        <w:t xml:space="preserve">, </w:t>
      </w:r>
      <w:r>
        <w:rPr>
          <w:rFonts w:ascii="David" w:hAnsi="David" w:cs="David"/>
          <w:rtl w:val="true"/>
        </w:rPr>
        <w:t>אף אם נניח לטובת הוועדה המקומית כי בפרויקט זה נעשו התאמות מסוימות</w:t>
      </w:r>
      <w:r>
        <w:rPr>
          <w:rFonts w:cs="David" w:ascii="David" w:hAnsi="David"/>
          <w:rtl w:val="true"/>
        </w:rPr>
        <w:t xml:space="preserve">, </w:t>
      </w:r>
      <w:r>
        <w:rPr>
          <w:rFonts w:ascii="David" w:hAnsi="David" w:cs="David"/>
          <w:rtl w:val="true"/>
        </w:rPr>
        <w:t>אין בכך כדי ללמד על שונות מהותית בינו לבין מיזמים אחרים של התחדשות עירונית</w:t>
      </w:r>
      <w:r>
        <w:rPr>
          <w:rFonts w:cs="David" w:ascii="David" w:hAnsi="David"/>
          <w:rtl w:val="true"/>
        </w:rPr>
        <w:t xml:space="preserve">. </w:t>
      </w:r>
      <w:r>
        <w:rPr>
          <w:rFonts w:ascii="David" w:hAnsi="David" w:cs="David"/>
          <w:rtl w:val="true"/>
        </w:rPr>
        <w:t>התאמות במהלך קידומו ומימושו של מיזם להתחדשות עירונית</w:t>
      </w:r>
      <w:r>
        <w:rPr>
          <w:rFonts w:cs="David" w:ascii="David" w:hAnsi="David"/>
          <w:rtl w:val="true"/>
        </w:rPr>
        <w:t xml:space="preserve">, </w:t>
      </w:r>
      <w:r>
        <w:rPr>
          <w:rFonts w:ascii="David" w:hAnsi="David" w:cs="David"/>
          <w:rtl w:val="true"/>
        </w:rPr>
        <w:t>לרבות הגדלת היקף זכויות הבנייה או שינוי בתמהיל הבינוי</w:t>
      </w:r>
      <w:r>
        <w:rPr>
          <w:rFonts w:cs="David" w:ascii="David" w:hAnsi="David"/>
          <w:rtl w:val="true"/>
        </w:rPr>
        <w:t xml:space="preserve">, </w:t>
      </w:r>
      <w:r>
        <w:rPr>
          <w:rFonts w:ascii="David" w:hAnsi="David" w:cs="David"/>
          <w:rtl w:val="true"/>
        </w:rPr>
        <w:t>אינן חריגות במיזמים מסוג זה</w:t>
      </w:r>
      <w:r>
        <w:rPr>
          <w:rFonts w:cs="David" w:ascii="David" w:hAnsi="David"/>
          <w:rtl w:val="true"/>
        </w:rPr>
        <w:t xml:space="preserve">. </w:t>
      </w:r>
      <w:r>
        <w:rPr>
          <w:rFonts w:ascii="David" w:hAnsi="David" w:cs="David"/>
          <w:rtl w:val="true"/>
        </w:rPr>
        <w:t>הדברים מקבלים משנה תוקף לנוכח הדוגמאות שעליהן הצביעה הוועדה המקומית עצמה בפרק שעניינו שיעור הדחייה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העולה מן המקובץ הוא כי טענותיה של הוועדה המקומית נותרו בגדר טענות כלליות</w:t>
      </w:r>
      <w:r>
        <w:rPr>
          <w:rFonts w:cs="David" w:ascii="David" w:hAnsi="David"/>
          <w:rtl w:val="true"/>
        </w:rPr>
        <w:t xml:space="preserve">, </w:t>
      </w:r>
      <w:r>
        <w:rPr>
          <w:rFonts w:ascii="David" w:hAnsi="David" w:cs="David"/>
          <w:rtl w:val="true"/>
        </w:rPr>
        <w:t>אשר לא הונחה להן תשתית עובדתית מספקת</w:t>
      </w:r>
      <w:r>
        <w:rPr>
          <w:rFonts w:cs="David" w:ascii="David" w:hAnsi="David"/>
          <w:rtl w:val="true"/>
        </w:rPr>
        <w:t xml:space="preserve">. </w:t>
      </w:r>
      <w:r>
        <w:rPr>
          <w:rFonts w:ascii="David" w:hAnsi="David" w:cs="David"/>
          <w:rtl w:val="true"/>
        </w:rPr>
        <w:t>בנסיבות אלה</w:t>
      </w:r>
      <w:r>
        <w:rPr>
          <w:rFonts w:cs="David" w:ascii="David" w:hAnsi="David"/>
          <w:rtl w:val="true"/>
        </w:rPr>
        <w:t xml:space="preserve">, </w:t>
      </w:r>
      <w:r>
        <w:rPr>
          <w:rFonts w:ascii="David" w:hAnsi="David" w:cs="David"/>
          <w:rtl w:val="true"/>
        </w:rPr>
        <w:t>אין בטענות האמורות כדי לערער את מסד הנתונים שעליו סמכה השמאית המכריעה את קביעתה</w:t>
      </w:r>
      <w:r>
        <w:rPr>
          <w:rFonts w:cs="David" w:ascii="David" w:hAnsi="David"/>
          <w:rtl w:val="true"/>
        </w:rPr>
        <w:t xml:space="preserve">, </w:t>
      </w:r>
      <w:r>
        <w:rPr>
          <w:rFonts w:ascii="David" w:hAnsi="David" w:cs="David"/>
          <w:rtl w:val="true"/>
        </w:rPr>
        <w:t>ואין בהן כדי להצדיק התערבות במסקנתה</w:t>
      </w:r>
      <w:r>
        <w:rPr>
          <w:rFonts w:cs="David" w:ascii="David" w:hAnsi="David"/>
          <w:rtl w:val="true"/>
        </w:rPr>
        <w:t>.</w:t>
      </w:r>
    </w:p>
    <w:p>
      <w:pPr>
        <w:pStyle w:val="Heading3"/>
        <w:suppressLineNumbers/>
        <w:spacing w:before="240" w:after="240"/>
        <w:ind w:firstLine="510" w:end="0"/>
        <w:jc w:val="start"/>
        <w:rPr/>
      </w:pPr>
      <w:r>
        <w:rPr>
          <w:rtl w:val="true"/>
        </w:rPr>
        <w:t>שווי</w:t>
      </w:r>
      <w:r>
        <w:rPr>
          <w:rFonts w:eastAsia="Cambria" w:cs="Cambria"/>
          <w:rtl w:val="true"/>
        </w:rPr>
        <w:t xml:space="preserve"> </w:t>
      </w:r>
      <w:r>
        <w:rPr>
          <w:rtl w:val="true"/>
        </w:rPr>
        <w:t>קרקע</w:t>
      </w:r>
      <w:r>
        <w:rPr>
          <w:rFonts w:eastAsia="Cambria" w:cs="Cambria"/>
          <w:rtl w:val="true"/>
        </w:rPr>
        <w:t xml:space="preserve"> </w:t>
      </w:r>
      <w:r>
        <w:rPr>
          <w:rtl w:val="true"/>
        </w:rPr>
        <w:t>למ</w:t>
      </w:r>
      <w:r>
        <w:rPr>
          <w:rtl w:val="true"/>
        </w:rPr>
        <w:t>"</w:t>
      </w:r>
      <w:r>
        <w:rPr>
          <w:rtl w:val="true"/>
        </w:rPr>
        <w:t>ר</w:t>
      </w:r>
      <w:r>
        <w:rPr>
          <w:rFonts w:eastAsia="Cambria" w:cs="Cambria"/>
          <w:rtl w:val="true"/>
        </w:rPr>
        <w:t xml:space="preserve"> </w:t>
      </w:r>
      <w:r>
        <w:rPr>
          <w:rtl w:val="true"/>
        </w:rPr>
        <w:t>מבונה</w:t>
      </w:r>
      <w:r>
        <w:rPr>
          <w:rFonts w:eastAsia="Cambria" w:cs="Cambria"/>
          <w:rtl w:val="true"/>
        </w:rPr>
        <w:t xml:space="preserve"> </w:t>
      </w:r>
      <w:r>
        <w:rPr>
          <w:rtl w:val="true"/>
        </w:rPr>
        <w:t>למסחר</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כידוע</w:t>
      </w:r>
      <w:r>
        <w:rPr>
          <w:rFonts w:cs="David" w:ascii="David" w:hAnsi="David"/>
          <w:rtl w:val="true"/>
        </w:rPr>
        <w:t xml:space="preserve">, </w:t>
      </w:r>
      <w:r>
        <w:rPr>
          <w:rFonts w:ascii="David" w:hAnsi="David" w:cs="David"/>
          <w:rtl w:val="true"/>
        </w:rPr>
        <w:t>קביעת ערכי שווי מצויה בליבת המומחיות השמאית</w:t>
      </w:r>
      <w:r>
        <w:rPr>
          <w:rFonts w:cs="David" w:ascii="David" w:hAnsi="David"/>
          <w:rtl w:val="true"/>
        </w:rPr>
        <w:t xml:space="preserve">. </w:t>
      </w:r>
      <w:r>
        <w:rPr>
          <w:rFonts w:ascii="David" w:hAnsi="David" w:cs="David"/>
          <w:rtl w:val="true"/>
        </w:rPr>
        <w:t>לפיכך</w:t>
      </w:r>
      <w:r>
        <w:rPr>
          <w:rFonts w:cs="David" w:ascii="David" w:hAnsi="David"/>
          <w:rtl w:val="true"/>
        </w:rPr>
        <w:t xml:space="preserve">, </w:t>
      </w:r>
      <w:r>
        <w:rPr>
          <w:rFonts w:ascii="David" w:hAnsi="David" w:cs="David"/>
          <w:rtl w:val="true"/>
        </w:rPr>
        <w:t>ועדת הערר לא תיטה להתערב בה מקום שבו היא נשענת על מתודה שמאית מקובלת ועל תשתית עובדתית מספקת</w:t>
      </w:r>
      <w:r>
        <w:rPr>
          <w:rFonts w:cs="David" w:ascii="David" w:hAnsi="David"/>
          <w:rtl w:val="true"/>
        </w:rPr>
        <w:t xml:space="preserve">, </w:t>
      </w:r>
      <w:r>
        <w:rPr>
          <w:rFonts w:ascii="David" w:hAnsi="David" w:cs="David"/>
          <w:rtl w:val="true"/>
        </w:rPr>
        <w:t xml:space="preserve">וזאת אף אם ניתן להצביע על גישות מקצועיות אחרות בסוגיה שבמחלוקת </w:t>
      </w:r>
      <w:r>
        <w:rPr>
          <w:rFonts w:cs="David" w:ascii="David" w:hAnsi="David"/>
          <w:rtl w:val="true"/>
        </w:rPr>
        <w:t>(</w:t>
      </w:r>
      <w:hyperlink r:id="rId27">
        <w:r>
          <w:rPr>
            <w:rStyle w:val="Hyperlink"/>
            <w:rFonts w:ascii="David" w:hAnsi="David" w:cs="David"/>
            <w:color w:val="0000FF"/>
            <w:u w:val="single"/>
            <w:rtl w:val="true"/>
          </w:rPr>
          <w:t>בר</w:t>
        </w:r>
        <w:r>
          <w:rPr>
            <w:rStyle w:val="Hyperlink"/>
            <w:rFonts w:cs="David" w:ascii="David" w:hAnsi="David"/>
            <w:color w:val="0000FF"/>
            <w:u w:val="single"/>
            <w:rtl w:val="true"/>
          </w:rPr>
          <w:t>"</w:t>
        </w:r>
        <w:r>
          <w:rPr>
            <w:rStyle w:val="Hyperlink"/>
            <w:rFonts w:ascii="David" w:hAnsi="David" w:cs="David"/>
            <w:color w:val="0000FF"/>
            <w:u w:val="single"/>
            <w:rtl w:val="true"/>
          </w:rPr>
          <w:t xml:space="preserve">מ </w:t>
        </w:r>
        <w:r>
          <w:rPr>
            <w:rStyle w:val="Hyperlink"/>
            <w:rFonts w:cs="David" w:ascii="David" w:hAnsi="David"/>
            <w:color w:val="0000FF"/>
            <w:u w:val="single"/>
          </w:rPr>
          <w:t>3644/13</w:t>
        </w:r>
      </w:hyperlink>
      <w:r>
        <w:rPr>
          <w:rFonts w:cs="David" w:ascii="David" w:hAnsi="David"/>
          <w:rtl w:val="true"/>
        </w:rPr>
        <w:t xml:space="preserve"> </w:t>
      </w:r>
      <w:r>
        <w:rPr>
          <w:rFonts w:ascii="Miriam" w:hAnsi="Miriam" w:cs="Miriam"/>
          <w:rtl w:val="true"/>
        </w:rPr>
        <w:t>משרד התחבורה נ</w:t>
      </w:r>
      <w:r>
        <w:rPr>
          <w:rFonts w:cs="Miriam" w:ascii="Miriam" w:hAnsi="Miriam"/>
          <w:rtl w:val="true"/>
        </w:rPr>
        <w:t xml:space="preserve">' </w:t>
      </w:r>
      <w:r>
        <w:rPr>
          <w:rFonts w:ascii="Miriam" w:hAnsi="Miriam" w:cs="Miriam"/>
          <w:rtl w:val="true"/>
        </w:rPr>
        <w:t>גלר דוד ואארורה ואח</w:t>
      </w:r>
      <w:r>
        <w:rPr>
          <w:rFonts w:cs="Miriam" w:ascii="Miriam" w:hAnsi="Miriam"/>
          <w:rtl w:val="true"/>
        </w:rPr>
        <w:t>'</w:t>
      </w:r>
      <w:r>
        <w:rPr>
          <w:rFonts w:cs="David" w:ascii="David" w:hAnsi="David"/>
          <w:rtl w:val="true"/>
        </w:rPr>
        <w:t xml:space="preserve"> (</w:t>
      </w:r>
      <w:r>
        <w:rPr>
          <w:rFonts w:ascii="David" w:hAnsi="David" w:cs="David"/>
          <w:rtl w:val="true"/>
        </w:rPr>
        <w:t xml:space="preserve">נבו </w:t>
      </w:r>
      <w:r>
        <w:rPr>
          <w:rFonts w:cs="David" w:ascii="David" w:hAnsi="David"/>
        </w:rPr>
        <w:t>23.4.2014</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בענייננו</w:t>
      </w:r>
      <w:r>
        <w:rPr>
          <w:rFonts w:cs="David" w:ascii="David" w:hAnsi="David"/>
          <w:rtl w:val="true"/>
        </w:rPr>
        <w:t xml:space="preserve">, </w:t>
      </w:r>
      <w:r>
        <w:rPr>
          <w:rFonts w:ascii="David" w:hAnsi="David" w:cs="David"/>
          <w:rtl w:val="true"/>
        </w:rPr>
        <w:t>ערכי השווי למסחר נקבעו על יסוד תשתית נתונים רחבה ומגוונת</w:t>
      </w:r>
      <w:r>
        <w:rPr>
          <w:rFonts w:cs="David" w:ascii="David" w:hAnsi="David"/>
          <w:rtl w:val="true"/>
        </w:rPr>
        <w:t xml:space="preserve">, </w:t>
      </w:r>
      <w:r>
        <w:rPr>
          <w:rFonts w:ascii="David" w:hAnsi="David" w:cs="David"/>
          <w:rtl w:val="true"/>
        </w:rPr>
        <w:t>שכללה עסקאות השוואה</w:t>
      </w:r>
      <w:r>
        <w:rPr>
          <w:rFonts w:cs="David" w:ascii="David" w:hAnsi="David"/>
          <w:rtl w:val="true"/>
        </w:rPr>
        <w:t xml:space="preserve">, </w:t>
      </w:r>
      <w:r>
        <w:rPr>
          <w:rFonts w:ascii="David" w:hAnsi="David" w:cs="David"/>
          <w:rtl w:val="true"/>
        </w:rPr>
        <w:t>שומות מכריעות וכן מכרז שפרסמה רשות מקרקעי ישראל</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עיון במסד עסקאות ההשוואה מלמד על שונות ניכרת בשווי למ</w:t>
      </w:r>
      <w:r>
        <w:rPr>
          <w:rFonts w:cs="David" w:ascii="David" w:hAnsi="David"/>
          <w:rtl w:val="true"/>
        </w:rPr>
        <w:t>"</w:t>
      </w:r>
      <w:r>
        <w:rPr>
          <w:rFonts w:ascii="David" w:hAnsi="David" w:cs="David"/>
          <w:rtl w:val="true"/>
        </w:rPr>
        <w:t>ר בנוי בין העסקאות השונות</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לטענת הוועדה המקומית</w:t>
      </w:r>
      <w:r>
        <w:rPr>
          <w:rFonts w:cs="David" w:ascii="David" w:hAnsi="David"/>
          <w:rtl w:val="true"/>
        </w:rPr>
        <w:t xml:space="preserve">, </w:t>
      </w:r>
      <w:r>
        <w:rPr>
          <w:rFonts w:ascii="David" w:hAnsi="David" w:cs="David"/>
          <w:rtl w:val="true"/>
        </w:rPr>
        <w:t>שונות זו נעוצה</w:t>
      </w:r>
      <w:r>
        <w:rPr>
          <w:rFonts w:cs="David" w:ascii="David" w:hAnsi="David"/>
          <w:rtl w:val="true"/>
        </w:rPr>
        <w:t xml:space="preserve">, </w:t>
      </w:r>
      <w:r>
        <w:rPr>
          <w:rFonts w:ascii="David" w:hAnsi="David" w:cs="David"/>
          <w:rtl w:val="true"/>
        </w:rPr>
        <w:t>בין היתר</w:t>
      </w:r>
      <w:r>
        <w:rPr>
          <w:rFonts w:cs="David" w:ascii="David" w:hAnsi="David"/>
          <w:rtl w:val="true"/>
        </w:rPr>
        <w:t xml:space="preserve">, </w:t>
      </w:r>
      <w:r>
        <w:rPr>
          <w:rFonts w:ascii="David" w:hAnsi="David" w:cs="David"/>
          <w:rtl w:val="true"/>
        </w:rPr>
        <w:t>במאפיינים המשפיעים על מידת החשיפה של הנכס לקהל</w:t>
      </w:r>
      <w:r>
        <w:rPr>
          <w:rFonts w:cs="David" w:ascii="David" w:hAnsi="David"/>
          <w:rtl w:val="true"/>
        </w:rPr>
        <w:t xml:space="preserve">, </w:t>
      </w:r>
      <w:r>
        <w:rPr>
          <w:rFonts w:ascii="David" w:hAnsi="David" w:cs="David"/>
          <w:rtl w:val="true"/>
        </w:rPr>
        <w:t>ובהם מיקום החזית והקומה שבה מצוי הנכס</w:t>
      </w:r>
      <w:r>
        <w:rPr>
          <w:rFonts w:cs="David" w:ascii="David" w:hAnsi="David"/>
          <w:rtl w:val="true"/>
        </w:rPr>
        <w:t xml:space="preserve">. </w:t>
      </w:r>
      <w:r>
        <w:rPr>
          <w:rFonts w:ascii="David" w:hAnsi="David" w:cs="David"/>
          <w:rtl w:val="true"/>
        </w:rPr>
        <w:t>לשיטתה</w:t>
      </w:r>
      <w:r>
        <w:rPr>
          <w:rFonts w:cs="David" w:ascii="David" w:hAnsi="David"/>
          <w:rtl w:val="true"/>
        </w:rPr>
        <w:t xml:space="preserve">, </w:t>
      </w:r>
      <w:r>
        <w:rPr>
          <w:rFonts w:ascii="David" w:hAnsi="David" w:cs="David"/>
          <w:rtl w:val="true"/>
        </w:rPr>
        <w:t>היה מקום לנטרל את השפעתם של מאפיינים אלה במסגרת ניתוח עסקאות ההשוואה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פני הדברים</w:t>
      </w:r>
      <w:r>
        <w:rPr>
          <w:rFonts w:cs="David" w:ascii="David" w:hAnsi="David"/>
          <w:rtl w:val="true"/>
        </w:rPr>
        <w:t xml:space="preserve">, </w:t>
      </w:r>
      <w:r>
        <w:rPr>
          <w:rFonts w:ascii="David" w:hAnsi="David" w:cs="David"/>
          <w:rtl w:val="true"/>
        </w:rPr>
        <w:t>יש ממש בטענה זו</w:t>
      </w:r>
      <w:r>
        <w:rPr>
          <w:rFonts w:cs="David" w:ascii="David" w:hAnsi="David"/>
          <w:rtl w:val="true"/>
        </w:rPr>
        <w:t xml:space="preserve">. </w:t>
      </w:r>
      <w:r>
        <w:rPr>
          <w:rFonts w:ascii="David" w:hAnsi="David" w:cs="David"/>
          <w:rtl w:val="true"/>
        </w:rPr>
        <w:t>עסקאות בנכסים המצויים בחזית הרחוב</w:t>
      </w:r>
      <w:r>
        <w:rPr>
          <w:rFonts w:cs="David" w:ascii="David" w:hAnsi="David"/>
          <w:rtl w:val="true"/>
        </w:rPr>
        <w:t xml:space="preserve">, </w:t>
      </w:r>
      <w:r>
        <w:rPr>
          <w:rFonts w:ascii="David" w:hAnsi="David" w:cs="David"/>
          <w:rtl w:val="true"/>
        </w:rPr>
        <w:t>להבדיל מנכסים הפונים לחזית פנימית</w:t>
      </w:r>
      <w:r>
        <w:rPr>
          <w:rFonts w:cs="David" w:ascii="David" w:hAnsi="David"/>
          <w:rtl w:val="true"/>
        </w:rPr>
        <w:t xml:space="preserve">, </w:t>
      </w:r>
      <w:r>
        <w:rPr>
          <w:rFonts w:ascii="David" w:hAnsi="David" w:cs="David"/>
          <w:rtl w:val="true"/>
        </w:rPr>
        <w:t>אכן מצביעות על שווי גבוה במידה ניכרת מזה העולה מעסקאות בנכסים שמידת חשיפתם לקהל נמוכה יותר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העסקה שנערכה בגוש </w:t>
      </w:r>
      <w:r>
        <w:rPr>
          <w:rFonts w:cs="David" w:ascii="David" w:hAnsi="David"/>
        </w:rPr>
        <w:t>7928</w:t>
      </w:r>
      <w:r>
        <w:rPr>
          <w:rFonts w:cs="David" w:ascii="David" w:hAnsi="David"/>
          <w:rtl w:val="true"/>
        </w:rPr>
        <w:t xml:space="preserve"> </w:t>
      </w:r>
      <w:r>
        <w:rPr>
          <w:rFonts w:ascii="David" w:hAnsi="David" w:cs="David"/>
          <w:rtl w:val="true"/>
        </w:rPr>
        <w:t xml:space="preserve">חלקה </w:t>
      </w:r>
      <w:r>
        <w:rPr>
          <w:rFonts w:cs="David" w:ascii="David" w:hAnsi="David"/>
        </w:rPr>
        <w:t>22</w:t>
      </w:r>
      <w:r>
        <w:rPr>
          <w:rFonts w:cs="David" w:ascii="David" w:hAnsi="David"/>
          <w:rtl w:val="true"/>
        </w:rPr>
        <w:t xml:space="preserve">, </w:t>
      </w:r>
      <w:r>
        <w:rPr>
          <w:rFonts w:ascii="David" w:hAnsi="David" w:cs="David"/>
          <w:rtl w:val="true"/>
        </w:rPr>
        <w:t xml:space="preserve">שממנה נגזר שווי של </w:t>
      </w:r>
      <w:r>
        <w:rPr>
          <w:rFonts w:cs="David" w:ascii="David" w:hAnsi="David"/>
        </w:rPr>
        <w:t>13,541</w:t>
      </w:r>
      <w:r>
        <w:rPr>
          <w:rFonts w:cs="David" w:ascii="David" w:hAnsi="David"/>
          <w:rtl w:val="true"/>
        </w:rPr>
        <w:t xml:space="preserve"> </w:t>
      </w:r>
      <w:r>
        <w:rPr>
          <w:rFonts w:ascii="David" w:hAnsi="David" w:cs="David"/>
          <w:rtl w:val="true"/>
        </w:rPr>
        <w:t>ש</w:t>
      </w:r>
      <w:r>
        <w:rPr>
          <w:rFonts w:cs="David" w:ascii="David" w:hAnsi="David"/>
          <w:rtl w:val="true"/>
        </w:rPr>
        <w:t>"</w:t>
      </w:r>
      <w:r>
        <w:rPr>
          <w:rFonts w:ascii="David" w:hAnsi="David" w:cs="David"/>
          <w:rtl w:val="true"/>
        </w:rPr>
        <w:t>ח למ</w:t>
      </w:r>
      <w:r>
        <w:rPr>
          <w:rFonts w:cs="David" w:ascii="David" w:hAnsi="David"/>
          <w:rtl w:val="true"/>
        </w:rPr>
        <w:t>"</w:t>
      </w:r>
      <w:r>
        <w:rPr>
          <w:rFonts w:ascii="David" w:hAnsi="David" w:cs="David"/>
          <w:rtl w:val="true"/>
        </w:rPr>
        <w:t>ר בנוי</w:t>
      </w:r>
      <w:r>
        <w:rPr>
          <w:rFonts w:cs="David" w:ascii="David" w:hAnsi="David"/>
          <w:rtl w:val="true"/>
        </w:rPr>
        <w:t xml:space="preserve">, </w:t>
      </w:r>
      <w:r>
        <w:rPr>
          <w:rFonts w:ascii="David" w:hAnsi="David" w:cs="David"/>
          <w:rtl w:val="true"/>
        </w:rPr>
        <w:t>היא חריגה בהקשר זה</w:t>
      </w:r>
      <w:r>
        <w:rPr>
          <w:rFonts w:cs="David" w:ascii="David" w:hAnsi="David"/>
          <w:rtl w:val="true"/>
        </w:rPr>
        <w:t xml:space="preserve">. </w:t>
      </w:r>
      <w:r>
        <w:rPr>
          <w:rFonts w:ascii="David" w:hAnsi="David" w:cs="David"/>
          <w:rtl w:val="true"/>
        </w:rPr>
        <w:t>בהינתן מאפייני הנכס והפער בינה לבין יתר העסקאות</w:t>
      </w:r>
      <w:r>
        <w:rPr>
          <w:rFonts w:cs="David" w:ascii="David" w:hAnsi="David"/>
          <w:rtl w:val="true"/>
        </w:rPr>
        <w:t xml:space="preserve">, </w:t>
      </w:r>
      <w:r>
        <w:rPr>
          <w:rFonts w:ascii="David" w:hAnsi="David" w:cs="David"/>
          <w:rtl w:val="true"/>
        </w:rPr>
        <w:t>הכללתה במסד הנתונים טעונה הסבר</w:t>
      </w:r>
      <w:r>
        <w:rPr>
          <w:rFonts w:cs="David" w:ascii="David" w:hAnsi="David"/>
          <w:rtl w:val="true"/>
        </w:rPr>
        <w:t xml:space="preserve">. </w:t>
      </w:r>
      <w:r>
        <w:rPr>
          <w:rFonts w:ascii="David" w:hAnsi="David" w:cs="David"/>
          <w:rtl w:val="true"/>
        </w:rPr>
        <w:t>הדברים אמורים ביתר שאת שעה שעסקה חריגה אחרת</w:t>
      </w:r>
      <w:r>
        <w:rPr>
          <w:rFonts w:cs="David" w:ascii="David" w:hAnsi="David"/>
          <w:rtl w:val="true"/>
        </w:rPr>
        <w:t xml:space="preserve">, </w:t>
      </w:r>
      <w:r>
        <w:rPr>
          <w:rFonts w:ascii="David" w:hAnsi="David" w:cs="David"/>
          <w:rtl w:val="true"/>
        </w:rPr>
        <w:t xml:space="preserve">שנערכה בגוש </w:t>
      </w:r>
      <w:r>
        <w:rPr>
          <w:rFonts w:cs="David" w:ascii="David" w:hAnsi="David"/>
        </w:rPr>
        <w:t>7960</w:t>
      </w:r>
      <w:r>
        <w:rPr>
          <w:rFonts w:cs="David" w:ascii="David" w:hAnsi="David"/>
          <w:rtl w:val="true"/>
        </w:rPr>
        <w:t xml:space="preserve"> </w:t>
      </w:r>
      <w:r>
        <w:rPr>
          <w:rFonts w:ascii="David" w:hAnsi="David" w:cs="David"/>
          <w:rtl w:val="true"/>
        </w:rPr>
        <w:t xml:space="preserve">חלקה </w:t>
      </w:r>
      <w:r>
        <w:rPr>
          <w:rFonts w:cs="David" w:ascii="David" w:hAnsi="David"/>
        </w:rPr>
        <w:t>53</w:t>
      </w:r>
      <w:r>
        <w:rPr>
          <w:rFonts w:cs="David" w:ascii="David" w:hAnsi="David"/>
          <w:rtl w:val="true"/>
        </w:rPr>
        <w:t xml:space="preserve"> </w:t>
      </w:r>
      <w:r>
        <w:rPr>
          <w:rFonts w:ascii="David" w:hAnsi="David" w:cs="David"/>
          <w:rtl w:val="true"/>
        </w:rPr>
        <w:t>תת</w:t>
      </w:r>
      <w:r>
        <w:rPr>
          <w:rFonts w:cs="David" w:ascii="David" w:hAnsi="David"/>
          <w:rtl w:val="true"/>
        </w:rPr>
        <w:t>-</w:t>
      </w:r>
      <w:r>
        <w:rPr>
          <w:rFonts w:ascii="David" w:hAnsi="David" w:cs="David"/>
          <w:rtl w:val="true"/>
        </w:rPr>
        <w:t xml:space="preserve">חלקה </w:t>
      </w:r>
      <w:r>
        <w:rPr>
          <w:rFonts w:cs="David" w:ascii="David" w:hAnsi="David"/>
        </w:rPr>
        <w:t>14</w:t>
      </w:r>
      <w:r>
        <w:rPr>
          <w:rFonts w:cs="David" w:ascii="David" w:hAnsi="David"/>
          <w:rtl w:val="true"/>
        </w:rPr>
        <w:t xml:space="preserve">, </w:t>
      </w:r>
      <w:r>
        <w:rPr>
          <w:rFonts w:ascii="David" w:hAnsi="David" w:cs="David"/>
          <w:rtl w:val="true"/>
        </w:rPr>
        <w:t>נוטרלה מהתחשיב בשל חריגותה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פרט לצורך בהבהרה ביחס לעסקה זו</w:t>
      </w:r>
      <w:r>
        <w:rPr>
          <w:rFonts w:cs="David" w:ascii="David" w:hAnsi="David"/>
          <w:rtl w:val="true"/>
        </w:rPr>
        <w:t xml:space="preserve">, </w:t>
      </w:r>
      <w:r>
        <w:rPr>
          <w:rFonts w:ascii="David" w:hAnsi="David" w:cs="David"/>
          <w:rtl w:val="true"/>
        </w:rPr>
        <w:t>לא מצאנו עילה להתערב במסד הנתונים ששימש את השמאית המכריעה או בקביעת השווי שנגזרה ממנו</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יש לזכור כי עסקאות ההשוואה אינן עומדות לבדן</w:t>
      </w:r>
      <w:r>
        <w:rPr>
          <w:rFonts w:cs="David" w:ascii="David" w:hAnsi="David"/>
          <w:rtl w:val="true"/>
        </w:rPr>
        <w:t xml:space="preserve">, </w:t>
      </w:r>
      <w:r>
        <w:rPr>
          <w:rFonts w:ascii="David" w:hAnsi="David" w:cs="David"/>
          <w:rtl w:val="true"/>
        </w:rPr>
        <w:t>אלא מהוות נדבך אחד מבין מספר נדבכים ששימשו בקביעת השווי</w:t>
      </w:r>
      <w:r>
        <w:rPr>
          <w:rFonts w:cs="David" w:ascii="David" w:hAnsi="David"/>
          <w:rtl w:val="true"/>
        </w:rPr>
        <w:t xml:space="preserve">. </w:t>
      </w:r>
      <w:r>
        <w:rPr>
          <w:rFonts w:ascii="David" w:hAnsi="David" w:cs="David"/>
          <w:rtl w:val="true"/>
        </w:rPr>
        <w:t>לפיכך</w:t>
      </w:r>
      <w:r>
        <w:rPr>
          <w:rFonts w:cs="David" w:ascii="David" w:hAnsi="David"/>
          <w:rtl w:val="true"/>
        </w:rPr>
        <w:t xml:space="preserve">, </w:t>
      </w:r>
      <w:r>
        <w:rPr>
          <w:rFonts w:ascii="David" w:hAnsi="David" w:cs="David"/>
          <w:rtl w:val="true"/>
        </w:rPr>
        <w:t>המשקל שניתן לרכיב זה מוגבל</w:t>
      </w:r>
      <w:r>
        <w:rPr>
          <w:rFonts w:cs="David" w:ascii="David" w:hAnsi="David"/>
          <w:rtl w:val="true"/>
        </w:rPr>
        <w:t xml:space="preserve">, </w:t>
      </w:r>
      <w:r>
        <w:rPr>
          <w:rFonts w:ascii="David" w:hAnsi="David" w:cs="David"/>
          <w:rtl w:val="true"/>
        </w:rPr>
        <w:t>והשווי הסופי נקבע על יסוד שקלולם של מכלול הנתונים שעמדו לפני השמאית המכריעה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אשר לטענות הוועדה המקומית בנוגע לרכיב השומות המכריעות</w:t>
      </w:r>
      <w:r>
        <w:rPr>
          <w:rFonts w:cs="David" w:ascii="David" w:hAnsi="David"/>
          <w:rtl w:val="true"/>
        </w:rPr>
        <w:t xml:space="preserve">, </w:t>
      </w:r>
      <w:r>
        <w:rPr>
          <w:rFonts w:ascii="David" w:hAnsi="David" w:cs="David"/>
          <w:rtl w:val="true"/>
        </w:rPr>
        <w:t>אף אם מועדן חורג מטווח של שנתיים מהמועד הקובע לתוכנית</w:t>
      </w:r>
      <w:r>
        <w:rPr>
          <w:rFonts w:cs="David" w:ascii="David" w:hAnsi="David"/>
          <w:rtl w:val="true"/>
        </w:rPr>
        <w:t xml:space="preserve">, </w:t>
      </w:r>
      <w:r>
        <w:rPr>
          <w:rFonts w:ascii="David" w:hAnsi="David" w:cs="David"/>
          <w:rtl w:val="true"/>
        </w:rPr>
        <w:t>אין בכך</w:t>
      </w:r>
      <w:r>
        <w:rPr>
          <w:rFonts w:cs="David" w:ascii="David" w:hAnsi="David"/>
          <w:rtl w:val="true"/>
        </w:rPr>
        <w:t xml:space="preserve">, </w:t>
      </w:r>
      <w:r>
        <w:rPr>
          <w:rFonts w:ascii="David" w:hAnsi="David" w:cs="David"/>
          <w:rtl w:val="true"/>
        </w:rPr>
        <w:t>כשלעצמו</w:t>
      </w:r>
      <w:r>
        <w:rPr>
          <w:rFonts w:cs="David" w:ascii="David" w:hAnsi="David"/>
          <w:rtl w:val="true"/>
        </w:rPr>
        <w:t xml:space="preserve">, </w:t>
      </w:r>
      <w:r>
        <w:rPr>
          <w:rFonts w:ascii="David" w:hAnsi="David" w:cs="David"/>
          <w:rtl w:val="true"/>
        </w:rPr>
        <w:t>כדי להצדיק את נטרולן ממסד הנתונים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הטעם לכך פשוט</w:t>
      </w:r>
      <w:r>
        <w:rPr>
          <w:rFonts w:cs="David" w:ascii="David" w:hAnsi="David"/>
          <w:rtl w:val="true"/>
        </w:rPr>
        <w:t xml:space="preserve">. </w:t>
      </w:r>
      <w:r>
        <w:rPr>
          <w:rFonts w:ascii="David" w:hAnsi="David" w:cs="David"/>
          <w:rtl w:val="true"/>
        </w:rPr>
        <w:t>לא נמצא פער של ממש בין ערכי השווי העולים משומות אלה</w:t>
      </w:r>
      <w:r>
        <w:rPr>
          <w:rFonts w:cs="David" w:ascii="David" w:hAnsi="David"/>
          <w:rtl w:val="true"/>
        </w:rPr>
        <w:t xml:space="preserve">, </w:t>
      </w:r>
      <w:r>
        <w:rPr>
          <w:rFonts w:ascii="David" w:hAnsi="David" w:cs="David"/>
          <w:rtl w:val="true"/>
        </w:rPr>
        <w:t>ואף לא הוצגה אינדיקציה לכך שפער הזמנים הוא בעל השפעה ממשית על התוצאה</w:t>
      </w:r>
      <w:r>
        <w:rPr>
          <w:rFonts w:cs="David" w:ascii="David" w:hAnsi="David"/>
          <w:rtl w:val="true"/>
        </w:rPr>
        <w:t xml:space="preserve">. </w:t>
      </w:r>
      <w:r>
        <w:rPr>
          <w:rFonts w:ascii="David" w:hAnsi="David" w:cs="David"/>
          <w:rtl w:val="true"/>
        </w:rPr>
        <w:t>בהיעדר נתון המלמד אחרת</w:t>
      </w:r>
      <w:r>
        <w:rPr>
          <w:rFonts w:cs="David" w:ascii="David" w:hAnsi="David"/>
          <w:rtl w:val="true"/>
        </w:rPr>
        <w:t xml:space="preserve">, </w:t>
      </w:r>
      <w:r>
        <w:rPr>
          <w:rFonts w:ascii="David" w:hAnsi="David" w:cs="David"/>
          <w:rtl w:val="true"/>
        </w:rPr>
        <w:t>עצם הריחוק במועד אינו מקים עילה לגריעת השומות מהתחשיב</w:t>
      </w:r>
      <w:r>
        <w:rPr>
          <w:rFonts w:cs="David" w:ascii="David" w:hAnsi="David"/>
          <w:rtl w:val="true"/>
        </w:rPr>
        <w:t xml:space="preserve">. </w:t>
      </w:r>
      <w:r>
        <w:rPr>
          <w:rFonts w:ascii="David" w:hAnsi="David" w:cs="David"/>
          <w:rtl w:val="true"/>
        </w:rPr>
        <w:t>משכך</w:t>
      </w:r>
      <w:r>
        <w:rPr>
          <w:rFonts w:cs="David" w:ascii="David" w:hAnsi="David"/>
          <w:rtl w:val="true"/>
        </w:rPr>
        <w:t xml:space="preserve">, </w:t>
      </w:r>
      <w:r>
        <w:rPr>
          <w:rFonts w:ascii="David" w:hAnsi="David" w:cs="David"/>
          <w:rtl w:val="true"/>
        </w:rPr>
        <w:t>לא מצאנו פגם בהסתמכות על רכיב זה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הוא הדין באשר למכרז שהוצג</w:t>
      </w:r>
      <w:r>
        <w:rPr>
          <w:rFonts w:cs="David" w:ascii="David" w:hAnsi="David"/>
          <w:rtl w:val="true"/>
        </w:rPr>
        <w:t xml:space="preserve">. </w:t>
      </w:r>
      <w:r>
        <w:rPr>
          <w:rFonts w:ascii="David" w:hAnsi="David" w:cs="David"/>
          <w:rtl w:val="true"/>
        </w:rPr>
        <w:t>אף אם קיימים הבדלים בין המכרז לבין התוכנית בכל הנוגע להיקף שטחי המסחר והמגורים</w:t>
      </w:r>
      <w:r>
        <w:rPr>
          <w:rFonts w:cs="David" w:ascii="David" w:hAnsi="David"/>
          <w:rtl w:val="true"/>
        </w:rPr>
        <w:t xml:space="preserve">, </w:t>
      </w:r>
      <w:r>
        <w:rPr>
          <w:rFonts w:ascii="David" w:hAnsi="David" w:cs="David"/>
          <w:rtl w:val="true"/>
        </w:rPr>
        <w:t>אין בנתון זה</w:t>
      </w:r>
      <w:r>
        <w:rPr>
          <w:rFonts w:cs="David" w:ascii="David" w:hAnsi="David"/>
          <w:rtl w:val="true"/>
        </w:rPr>
        <w:t xml:space="preserve">, </w:t>
      </w:r>
      <w:r>
        <w:rPr>
          <w:rFonts w:ascii="David" w:hAnsi="David" w:cs="David"/>
          <w:rtl w:val="true"/>
        </w:rPr>
        <w:t>כשלעצמו</w:t>
      </w:r>
      <w:r>
        <w:rPr>
          <w:rFonts w:cs="David" w:ascii="David" w:hAnsi="David"/>
          <w:rtl w:val="true"/>
        </w:rPr>
        <w:t xml:space="preserve">, </w:t>
      </w:r>
      <w:r>
        <w:rPr>
          <w:rFonts w:ascii="David" w:hAnsi="David" w:cs="David"/>
          <w:rtl w:val="true"/>
        </w:rPr>
        <w:t>כדי לשלול את הרלוונטיות של ערכי השווי הנלמדים ממנו</w:t>
      </w:r>
      <w:r>
        <w:rPr>
          <w:rFonts w:cs="David" w:ascii="David" w:hAnsi="David"/>
          <w:rtl w:val="true"/>
        </w:rPr>
        <w:t xml:space="preserve">. </w:t>
      </w:r>
      <w:r>
        <w:rPr>
          <w:rFonts w:ascii="David" w:hAnsi="David" w:cs="David"/>
          <w:rtl w:val="true"/>
        </w:rPr>
        <w:t>טענות הוועדה המקומית בעניין זה נטענו במישור הכללי</w:t>
      </w:r>
      <w:r>
        <w:rPr>
          <w:rFonts w:cs="David" w:ascii="David" w:hAnsi="David"/>
          <w:rtl w:val="true"/>
        </w:rPr>
        <w:t xml:space="preserve">, </w:t>
      </w:r>
      <w:r>
        <w:rPr>
          <w:rFonts w:ascii="David" w:hAnsi="David" w:cs="David"/>
          <w:rtl w:val="true"/>
        </w:rPr>
        <w:t>מבלי שהוצגה בחינה קונקרטית של ערכי השווי שנקבעו בשומות המכריעות אל מול אלה העולים מן המכרז</w:t>
      </w:r>
      <w:r>
        <w:rPr>
          <w:rFonts w:cs="David" w:ascii="David" w:hAnsi="David"/>
          <w:rtl w:val="true"/>
        </w:rPr>
        <w:t xml:space="preserve">. </w:t>
      </w:r>
      <w:r>
        <w:rPr>
          <w:rFonts w:ascii="David" w:hAnsi="David" w:cs="David"/>
          <w:rtl w:val="true"/>
        </w:rPr>
        <w:t>בהיעדר תשתית המצביעה על כך שהשוני האמור משליך באופן ממשי על ערכי השווי</w:t>
      </w:r>
      <w:r>
        <w:rPr>
          <w:rFonts w:cs="David" w:ascii="David" w:hAnsi="David"/>
          <w:rtl w:val="true"/>
        </w:rPr>
        <w:t xml:space="preserve">, </w:t>
      </w:r>
      <w:r>
        <w:rPr>
          <w:rFonts w:ascii="David" w:hAnsi="David" w:cs="David"/>
          <w:rtl w:val="true"/>
        </w:rPr>
        <w:t>לא מצאנו עילה להתערב אף ברכיב זה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אשר על כן</w:t>
      </w:r>
      <w:r>
        <w:rPr>
          <w:rFonts w:cs="David" w:ascii="David" w:hAnsi="David"/>
          <w:rtl w:val="true"/>
        </w:rPr>
        <w:t xml:space="preserve">, </w:t>
      </w:r>
      <w:r>
        <w:rPr>
          <w:rFonts w:ascii="David" w:hAnsi="David" w:cs="David"/>
          <w:rtl w:val="true"/>
        </w:rPr>
        <w:t xml:space="preserve">השמאית המכריעה תבהיר את הטעם להכללת העסקה שנערכה בגוש </w:t>
      </w:r>
      <w:r>
        <w:rPr>
          <w:rFonts w:cs="David" w:ascii="David" w:hAnsi="David"/>
        </w:rPr>
        <w:t>7928</w:t>
      </w:r>
      <w:r>
        <w:rPr>
          <w:rFonts w:cs="David" w:ascii="David" w:hAnsi="David"/>
          <w:rtl w:val="true"/>
        </w:rPr>
        <w:t xml:space="preserve"> </w:t>
      </w:r>
      <w:r>
        <w:rPr>
          <w:rFonts w:ascii="David" w:hAnsi="David" w:cs="David"/>
          <w:rtl w:val="true"/>
        </w:rPr>
        <w:t xml:space="preserve">חלקה </w:t>
      </w:r>
      <w:r>
        <w:rPr>
          <w:rFonts w:cs="David" w:ascii="David" w:hAnsi="David"/>
        </w:rPr>
        <w:t>22</w:t>
      </w:r>
      <w:r>
        <w:rPr>
          <w:rFonts w:cs="David" w:ascii="David" w:hAnsi="David"/>
          <w:rtl w:val="true"/>
        </w:rPr>
        <w:t xml:space="preserve"> </w:t>
      </w:r>
      <w:r>
        <w:rPr>
          <w:rFonts w:ascii="David" w:hAnsi="David" w:cs="David"/>
          <w:rtl w:val="true"/>
        </w:rPr>
        <w:t>במסד הנתונים</w:t>
      </w:r>
      <w:r>
        <w:rPr>
          <w:rFonts w:cs="David" w:ascii="David" w:hAnsi="David"/>
          <w:rtl w:val="true"/>
        </w:rPr>
        <w:t xml:space="preserve">, </w:t>
      </w:r>
      <w:r>
        <w:rPr>
          <w:rFonts w:ascii="David" w:hAnsi="David" w:cs="David"/>
          <w:rtl w:val="true"/>
        </w:rPr>
        <w:t>והוראות לעניין זה יפורטו בפרק המסכם</w:t>
      </w:r>
      <w:r>
        <w:rPr>
          <w:rFonts w:cs="David" w:ascii="David" w:hAnsi="David"/>
          <w:rtl w:val="true"/>
        </w:rPr>
        <w:t xml:space="preserve">. </w:t>
      </w:r>
    </w:p>
    <w:p>
      <w:pPr>
        <w:pStyle w:val="Ruller43"/>
        <w:suppressLineNumbers/>
        <w:spacing w:before="240" w:after="240"/>
        <w:ind w:start="510" w:end="0"/>
        <w:jc w:val="both"/>
        <w:rPr>
          <w:rFonts w:ascii="Miriam" w:hAnsi="Miriam" w:cs="Miriam"/>
        </w:rPr>
      </w:pPr>
      <w:r>
        <w:rPr>
          <w:rFonts w:ascii="Miriam" w:hAnsi="Miriam" w:cs="Miriam"/>
          <w:rtl w:val="true"/>
        </w:rPr>
        <w:t>התחשבות בתרומתה של תמ</w:t>
      </w:r>
      <w:r>
        <w:rPr>
          <w:rFonts w:cs="Miriam" w:ascii="Miriam" w:hAnsi="Miriam"/>
          <w:rtl w:val="true"/>
        </w:rPr>
        <w:t>"</w:t>
      </w:r>
      <w:r>
        <w:rPr>
          <w:rFonts w:ascii="Miriam" w:hAnsi="Miriam" w:cs="Miriam"/>
          <w:rtl w:val="true"/>
        </w:rPr>
        <w:t xml:space="preserve">א </w:t>
      </w:r>
      <w:r>
        <w:rPr>
          <w:rFonts w:cs="Miriam" w:ascii="Miriam" w:hAnsi="Miriam"/>
        </w:rPr>
        <w:t>38</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סוגיית ההתחשבות בפוטנציאל תכנוני שמקורו בתמ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עמדה במוקד ערעורים שהוכרעו בבית המשפט העליון לאחר שניתנו השומות המכריעות</w:t>
      </w:r>
      <w:r>
        <w:rPr>
          <w:rFonts w:cs="David" w:ascii="David" w:hAnsi="David"/>
          <w:rtl w:val="true"/>
        </w:rPr>
        <w:t xml:space="preserve">, </w:t>
      </w:r>
      <w:r>
        <w:rPr>
          <w:rFonts w:ascii="David" w:hAnsi="David" w:cs="David"/>
          <w:rtl w:val="true"/>
        </w:rPr>
        <w:t xml:space="preserve">במסגרת </w:t>
      </w:r>
      <w:r>
        <w:rPr>
          <w:rFonts w:ascii="Miriam" w:hAnsi="Miriam" w:cs="Miriam"/>
          <w:rtl w:val="true"/>
        </w:rPr>
        <w:t>עניין לויתן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באותו עניין נקבע</w:t>
      </w:r>
      <w:r>
        <w:rPr>
          <w:rFonts w:cs="David" w:ascii="David" w:hAnsi="David"/>
          <w:rtl w:val="true"/>
        </w:rPr>
        <w:t xml:space="preserve">, </w:t>
      </w:r>
      <w:r>
        <w:rPr>
          <w:rFonts w:ascii="David" w:hAnsi="David" w:cs="David"/>
          <w:rtl w:val="true"/>
        </w:rPr>
        <w:t>במישור העקרוני</w:t>
      </w:r>
      <w:r>
        <w:rPr>
          <w:rFonts w:cs="David" w:ascii="David" w:hAnsi="David"/>
          <w:rtl w:val="true"/>
        </w:rPr>
        <w:t xml:space="preserve">, </w:t>
      </w:r>
      <w:r>
        <w:rPr>
          <w:rFonts w:ascii="David" w:hAnsi="David" w:cs="David"/>
          <w:rtl w:val="true"/>
        </w:rPr>
        <w:t>כי מקום שבו מימוש הזכויות נעשה בדרך של מכר</w:t>
      </w:r>
      <w:r>
        <w:rPr>
          <w:rFonts w:cs="David" w:ascii="David" w:hAnsi="David"/>
          <w:rtl w:val="true"/>
        </w:rPr>
        <w:t xml:space="preserve">, </w:t>
      </w:r>
      <w:r>
        <w:rPr>
          <w:rFonts w:ascii="David" w:hAnsi="David" w:cs="David"/>
          <w:rtl w:val="true"/>
        </w:rPr>
        <w:t xml:space="preserve">אין לנטרל משווי המקרקעין במצב התכנוני הקודם את עליית הערך שמקורה בתוכנית המתאר הארצית לחיזוק מבנים מפני רעידות אדמה </w:t>
      </w:r>
      <w:r>
        <w:rPr>
          <w:rFonts w:cs="David" w:ascii="David" w:hAnsi="David"/>
          <w:rtl w:val="true"/>
        </w:rPr>
        <w:t>(</w:t>
      </w:r>
      <w:r>
        <w:rPr>
          <w:rFonts w:ascii="David" w:hAnsi="David" w:cs="David"/>
          <w:rtl w:val="true"/>
        </w:rPr>
        <w:t>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היקף תחולתו ודרך יישומו של כלל זה טרם זכו לבירור ממצה בפסיקה</w:t>
      </w:r>
      <w:r>
        <w:rPr>
          <w:rFonts w:cs="David" w:ascii="David" w:hAnsi="David"/>
          <w:rtl w:val="true"/>
        </w:rPr>
        <w:t xml:space="preserve">. </w:t>
      </w:r>
      <w:r>
        <w:rPr>
          <w:rFonts w:ascii="David" w:hAnsi="David" w:cs="David"/>
          <w:rtl w:val="true"/>
        </w:rPr>
        <w:t>הקושי המרכזי בהקשר זה נעוץ בהבחנה בין עליית ערך שמקורה בתמ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לבין עליית ערך הנובעת ממגמות תכנוניות כלליות באזור אשר מגולמות בשווי השוק המשתקף בעסקאות ההשוואה שעל יסודן הוערך שווי המקרקעין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קושי נוסף</w:t>
      </w:r>
      <w:r>
        <w:rPr>
          <w:rFonts w:cs="David" w:ascii="David" w:hAnsi="David"/>
          <w:rtl w:val="true"/>
        </w:rPr>
        <w:t xml:space="preserve">, </w:t>
      </w:r>
      <w:r>
        <w:rPr>
          <w:rFonts w:ascii="David" w:hAnsi="David" w:cs="David"/>
          <w:rtl w:val="true"/>
        </w:rPr>
        <w:t>ולא מבוטל</w:t>
      </w:r>
      <w:r>
        <w:rPr>
          <w:rFonts w:cs="David" w:ascii="David" w:hAnsi="David"/>
          <w:rtl w:val="true"/>
        </w:rPr>
        <w:t xml:space="preserve">, </w:t>
      </w:r>
      <w:r>
        <w:rPr>
          <w:rFonts w:ascii="David" w:hAnsi="David" w:cs="David"/>
          <w:rtl w:val="true"/>
        </w:rPr>
        <w:t>טמון בעצם הניסיון לכמת את שוויה של הציפייה למימוש זכויות בנייה מכוח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מטבע הדברים</w:t>
      </w:r>
      <w:r>
        <w:rPr>
          <w:rFonts w:cs="David" w:ascii="David" w:hAnsi="David"/>
          <w:rtl w:val="true"/>
        </w:rPr>
        <w:t xml:space="preserve">, </w:t>
      </w:r>
      <w:r>
        <w:rPr>
          <w:rFonts w:ascii="David" w:hAnsi="David" w:cs="David"/>
          <w:rtl w:val="true"/>
        </w:rPr>
        <w:t>עסקינן בערך המבוסס על ציפייה אשר מימושה אינו ודאי</w:t>
      </w:r>
      <w:r>
        <w:rPr>
          <w:rFonts w:cs="David" w:ascii="David" w:hAnsi="David"/>
          <w:rtl w:val="true"/>
        </w:rPr>
        <w:t xml:space="preserve">, </w:t>
      </w:r>
      <w:r>
        <w:rPr>
          <w:rFonts w:ascii="David" w:hAnsi="David" w:cs="David"/>
          <w:rtl w:val="true"/>
        </w:rPr>
        <w:t>ועל כן הוא עשוי להשתנות בהתאם למאפייני האזור שבו מצוי הנכס</w:t>
      </w:r>
      <w:r>
        <w:rPr>
          <w:rFonts w:cs="David" w:ascii="David" w:hAnsi="David"/>
          <w:rtl w:val="true"/>
        </w:rPr>
        <w:t xml:space="preserve">, </w:t>
      </w:r>
      <w:r>
        <w:rPr>
          <w:rFonts w:ascii="David" w:hAnsi="David" w:cs="David"/>
          <w:rtl w:val="true"/>
        </w:rPr>
        <w:t>למועד הקובע ולנסיבות התכנוניות ששררו באותה עת</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מנת להתמודד עם קשיים אלה ואחרים</w:t>
      </w:r>
      <w:r>
        <w:rPr>
          <w:rFonts w:cs="David" w:ascii="David" w:hAnsi="David"/>
          <w:rtl w:val="true"/>
        </w:rPr>
        <w:t xml:space="preserve">, </w:t>
      </w:r>
      <w:r>
        <w:rPr>
          <w:rFonts w:ascii="David" w:hAnsi="David" w:cs="David"/>
          <w:rtl w:val="true"/>
        </w:rPr>
        <w:t>נקבעה מתודולוגיה שנועדה לאפשר בקרה אפקטיבית על הנתונים</w:t>
      </w:r>
      <w:r>
        <w:rPr>
          <w:rFonts w:cs="David" w:ascii="David" w:hAnsi="David"/>
          <w:rtl w:val="true"/>
        </w:rPr>
        <w:t xml:space="preserve">, </w:t>
      </w:r>
      <w:r>
        <w:rPr>
          <w:rFonts w:ascii="David" w:hAnsi="David" w:cs="David"/>
          <w:rtl w:val="true"/>
        </w:rPr>
        <w:t>ההנחות והשיקולים שביסוד השומה</w:t>
      </w:r>
      <w:r>
        <w:rPr>
          <w:rFonts w:cs="David" w:ascii="David" w:hAnsi="David"/>
          <w:rtl w:val="true"/>
        </w:rPr>
        <w:t xml:space="preserve">, </w:t>
      </w:r>
      <w:r>
        <w:rPr>
          <w:rFonts w:ascii="David" w:hAnsi="David" w:cs="David"/>
          <w:rtl w:val="true"/>
        </w:rPr>
        <w:t>ובכך להבטיח</w:t>
      </w:r>
      <w:r>
        <w:rPr>
          <w:rFonts w:cs="David" w:ascii="David" w:hAnsi="David"/>
          <w:rtl w:val="true"/>
        </w:rPr>
        <w:t xml:space="preserve">, </w:t>
      </w:r>
      <w:r>
        <w:rPr>
          <w:rFonts w:ascii="David" w:hAnsi="David" w:cs="David"/>
          <w:rtl w:val="true"/>
        </w:rPr>
        <w:t>ככל הניתן</w:t>
      </w:r>
      <w:r>
        <w:rPr>
          <w:rFonts w:cs="David" w:ascii="David" w:hAnsi="David"/>
          <w:rtl w:val="true"/>
        </w:rPr>
        <w:t xml:space="preserve">, </w:t>
      </w:r>
      <w:r>
        <w:rPr>
          <w:rFonts w:ascii="David" w:hAnsi="David" w:cs="David"/>
          <w:rtl w:val="true"/>
        </w:rPr>
        <w:t>כי הערכת השווי תושתת על תשתית מקצועית</w:t>
      </w:r>
      <w:r>
        <w:rPr>
          <w:rFonts w:cs="David" w:ascii="David" w:hAnsi="David"/>
          <w:rtl w:val="true"/>
        </w:rPr>
        <w:t xml:space="preserve">, </w:t>
      </w:r>
      <w:r>
        <w:rPr>
          <w:rFonts w:ascii="David" w:hAnsi="David" w:cs="David"/>
          <w:rtl w:val="true"/>
        </w:rPr>
        <w:t>סדורה ומהימנה</w:t>
      </w:r>
      <w:r>
        <w:rPr>
          <w:rFonts w:cs="David" w:ascii="David" w:hAnsi="David"/>
          <w:color w:val="000000"/>
          <w:sz w:val="28"/>
          <w:shd w:fill="FFFFFF" w:val="clear"/>
          <w:rtl w:val="true"/>
        </w:rPr>
        <w:t>.</w:t>
      </w:r>
      <w:r>
        <w:rPr>
          <w:rFonts w:cs="David" w:ascii="David" w:hAnsi="David"/>
          <w:rtl w:val="true"/>
        </w:rPr>
        <w:t xml:space="preserve"> </w:t>
      </w:r>
      <w:r>
        <w:rPr>
          <w:rFonts w:ascii="David" w:hAnsi="David" w:cs="David"/>
          <w:rtl w:val="true"/>
        </w:rPr>
        <w:t>ראו</w:t>
      </w:r>
      <w:r>
        <w:rPr>
          <w:rFonts w:cs="David" w:ascii="David" w:hAnsi="David"/>
          <w:rtl w:val="true"/>
        </w:rPr>
        <w:t xml:space="preserve">: </w:t>
      </w:r>
      <w:r>
        <w:rPr>
          <w:rFonts w:ascii="David" w:hAnsi="David" w:cs="David"/>
          <w:rtl w:val="true"/>
        </w:rPr>
        <w:t xml:space="preserve">ערר </w:t>
      </w:r>
      <w:r>
        <w:rPr>
          <w:rFonts w:cs="David" w:ascii="David" w:hAnsi="David"/>
          <w:rtl w:val="true"/>
        </w:rPr>
        <w:t>(</w:t>
      </w:r>
      <w:r>
        <w:rPr>
          <w:rFonts w:ascii="David" w:hAnsi="David" w:cs="David"/>
          <w:rtl w:val="true"/>
        </w:rPr>
        <w:t xml:space="preserve">ועדות ערר </w:t>
      </w:r>
      <w:r>
        <w:rPr>
          <w:rFonts w:cs="David" w:ascii="David" w:hAnsi="David"/>
          <w:rtl w:val="true"/>
        </w:rPr>
        <w:t xml:space="preserve">- </w:t>
      </w:r>
      <w:r>
        <w:rPr>
          <w:rFonts w:ascii="David" w:hAnsi="David" w:cs="David"/>
          <w:rtl w:val="true"/>
        </w:rPr>
        <w:t>תכנון ובנייה מרכז</w:t>
      </w:r>
      <w:r>
        <w:rPr>
          <w:rFonts w:cs="David" w:ascii="David" w:hAnsi="David"/>
          <w:rtl w:val="true"/>
        </w:rPr>
        <w:t xml:space="preserve">) </w:t>
      </w:r>
      <w:r>
        <w:rPr>
          <w:rFonts w:cs="David" w:ascii="David" w:hAnsi="David"/>
        </w:rPr>
        <w:t>8004-01-25</w:t>
      </w:r>
      <w:r>
        <w:rPr>
          <w:rFonts w:cs="David" w:ascii="David" w:hAnsi="David"/>
          <w:rtl w:val="true"/>
        </w:rPr>
        <w:t xml:space="preserve"> </w:t>
      </w:r>
      <w:r>
        <w:rPr>
          <w:rFonts w:ascii="Miriam" w:hAnsi="Miriam" w:cs="Miriam"/>
          <w:rtl w:val="true"/>
        </w:rPr>
        <w:t>הוועדה המקומית לתכנון ובנייה פתח תקווה נ</w:t>
      </w:r>
      <w:r>
        <w:rPr>
          <w:rFonts w:cs="Miriam" w:ascii="Miriam" w:hAnsi="Miriam"/>
          <w:rtl w:val="true"/>
        </w:rPr>
        <w:t xml:space="preserve">' </w:t>
      </w:r>
      <w:r>
        <w:rPr>
          <w:rFonts w:ascii="Miriam" w:hAnsi="Miriam" w:cs="Miriam"/>
          <w:rtl w:val="true"/>
        </w:rPr>
        <w:t>חברת לב העיר בלפור חפץ חיים פ</w:t>
      </w:r>
      <w:r>
        <w:rPr>
          <w:rFonts w:cs="Miriam" w:ascii="Miriam" w:hAnsi="Miriam"/>
          <w:rtl w:val="true"/>
        </w:rPr>
        <w:t>"</w:t>
      </w:r>
      <w:r>
        <w:rPr>
          <w:rFonts w:ascii="Miriam" w:hAnsi="Miriam" w:cs="Miriam"/>
          <w:rtl w:val="true"/>
        </w:rPr>
        <w:t>ת בע</w:t>
      </w:r>
      <w:r>
        <w:rPr>
          <w:rFonts w:cs="Miriam" w:ascii="Miriam" w:hAnsi="Miriam"/>
          <w:rtl w:val="true"/>
        </w:rPr>
        <w:t>"</w:t>
      </w:r>
      <w:r>
        <w:rPr>
          <w:rFonts w:ascii="Miriam" w:hAnsi="Miriam" w:cs="Miriam"/>
          <w:rtl w:val="true"/>
        </w:rPr>
        <w:t>מ</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1.2.2026</w:t>
      </w:r>
      <w:r>
        <w:rPr>
          <w:rFonts w:cs="David" w:ascii="David" w:hAnsi="David"/>
          <w:rtl w:val="true"/>
        </w:rPr>
        <w:t>) (</w:t>
      </w:r>
      <w:r>
        <w:rPr>
          <w:rFonts w:ascii="David" w:hAnsi="David" w:cs="David"/>
          <w:rtl w:val="true"/>
        </w:rPr>
        <w:t>להלן</w:t>
      </w:r>
      <w:r>
        <w:rPr>
          <w:rFonts w:cs="David" w:ascii="David" w:hAnsi="David"/>
          <w:rtl w:val="true"/>
        </w:rPr>
        <w:t xml:space="preserve">: </w:t>
      </w:r>
      <w:r>
        <w:rPr>
          <w:rFonts w:ascii="Miriam" w:hAnsi="Miriam" w:cs="Miriam"/>
          <w:rtl w:val="true"/>
        </w:rPr>
        <w:t>עניין</w:t>
      </w:r>
      <w:r>
        <w:rPr>
          <w:rFonts w:ascii="David" w:hAnsi="David" w:cs="David"/>
          <w:rtl w:val="true"/>
        </w:rPr>
        <w:t xml:space="preserve"> </w:t>
      </w:r>
      <w:r>
        <w:rPr>
          <w:rFonts w:ascii="Miriam" w:hAnsi="Miriam" w:cs="Miriam"/>
          <w:rtl w:val="true"/>
        </w:rPr>
        <w:t>חברת לב העיר בלפור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בהקשר זה הוצעו שתי דרכי בחינה</w:t>
      </w:r>
      <w:r>
        <w:rPr>
          <w:rFonts w:cs="David" w:ascii="David" w:hAnsi="David"/>
          <w:rtl w:val="true"/>
        </w:rPr>
        <w:t xml:space="preserve">. </w:t>
      </w:r>
      <w:r>
        <w:rPr>
          <w:rFonts w:ascii="David" w:hAnsi="David" w:cs="David"/>
          <w:rtl w:val="true"/>
        </w:rPr>
        <w:t xml:space="preserve">האחת מבוססת על מחירי דירות בבניינים שנבנו משנת </w:t>
      </w:r>
      <w:r>
        <w:rPr>
          <w:rFonts w:cs="David" w:ascii="David" w:hAnsi="David"/>
        </w:rPr>
        <w:t>1980</w:t>
      </w:r>
      <w:r>
        <w:rPr>
          <w:rFonts w:cs="David" w:ascii="David" w:hAnsi="David"/>
          <w:rtl w:val="true"/>
        </w:rPr>
        <w:t xml:space="preserve"> </w:t>
      </w:r>
      <w:r>
        <w:rPr>
          <w:rFonts w:ascii="David" w:hAnsi="David" w:cs="David"/>
          <w:rtl w:val="true"/>
        </w:rPr>
        <w:t>ואילך</w:t>
      </w:r>
      <w:r>
        <w:rPr>
          <w:rFonts w:cs="David" w:ascii="David" w:hAnsi="David"/>
          <w:rtl w:val="true"/>
        </w:rPr>
        <w:t xml:space="preserve">, </w:t>
      </w:r>
      <w:r>
        <w:rPr>
          <w:rFonts w:ascii="David" w:hAnsi="David" w:cs="David"/>
          <w:rtl w:val="true"/>
        </w:rPr>
        <w:t xml:space="preserve">מתוך מטרה לאמוד </w:t>
      </w:r>
      <w:r>
        <w:rPr>
          <w:rFonts w:cs="David" w:ascii="David" w:hAnsi="David"/>
          <w:rtl w:val="true"/>
        </w:rPr>
        <w:t>"</w:t>
      </w:r>
      <w:r>
        <w:rPr>
          <w:rFonts w:ascii="David" w:hAnsi="David" w:cs="David"/>
          <w:rtl w:val="true"/>
        </w:rPr>
        <w:t>שווי נקי</w:t>
      </w:r>
      <w:r>
        <w:rPr>
          <w:rFonts w:cs="David" w:ascii="David" w:hAnsi="David"/>
          <w:rtl w:val="true"/>
        </w:rPr>
        <w:t xml:space="preserve">" </w:t>
      </w:r>
      <w:r>
        <w:rPr>
          <w:rFonts w:ascii="David" w:hAnsi="David" w:cs="David"/>
          <w:rtl w:val="true"/>
        </w:rPr>
        <w:t>שאינו כולל את רכיב הפוטנציאל שמקורו בתמ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והשנייה היא גישת החילוץ</w:t>
      </w:r>
      <w:r>
        <w:rPr>
          <w:rFonts w:cs="David" w:ascii="David" w:hAnsi="David"/>
          <w:rtl w:val="true"/>
        </w:rPr>
        <w:t xml:space="preserve">. </w:t>
      </w:r>
      <w:r>
        <w:rPr>
          <w:rFonts w:ascii="David" w:hAnsi="David" w:cs="David"/>
          <w:rtl w:val="true"/>
        </w:rPr>
        <w:t>לפי גישה זו</w:t>
      </w:r>
      <w:r>
        <w:rPr>
          <w:rFonts w:cs="David" w:ascii="David" w:hAnsi="David"/>
          <w:rtl w:val="true"/>
        </w:rPr>
        <w:t xml:space="preserve">, </w:t>
      </w:r>
      <w:r>
        <w:rPr>
          <w:rFonts w:ascii="David" w:hAnsi="David" w:cs="David"/>
          <w:rtl w:val="true"/>
        </w:rPr>
        <w:t>ניתן לאמוד את רכיב הפוטנציאל התכנוני הגלום בתמ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באמצעות השוואת יתרת השווי לקרקע בין שתי קבוצות עסקאות</w:t>
      </w:r>
      <w:r>
        <w:rPr>
          <w:rFonts w:cs="David" w:ascii="David" w:hAnsi="David"/>
          <w:rtl w:val="true"/>
        </w:rPr>
        <w:t xml:space="preserve">: </w:t>
      </w:r>
      <w:r>
        <w:rPr>
          <w:rFonts w:ascii="David" w:hAnsi="David" w:cs="David"/>
          <w:rtl w:val="true"/>
        </w:rPr>
        <w:t>האחת</w:t>
      </w:r>
      <w:r>
        <w:rPr>
          <w:rFonts w:cs="David" w:ascii="David" w:hAnsi="David"/>
          <w:rtl w:val="true"/>
        </w:rPr>
        <w:t xml:space="preserve">, </w:t>
      </w:r>
      <w:r>
        <w:rPr>
          <w:rFonts w:ascii="David" w:hAnsi="David" w:cs="David"/>
          <w:rtl w:val="true"/>
        </w:rPr>
        <w:t>עסקאות בנכסים המצויים בבניינים העומדים בתנאי הסף למימוש זכויות מכוח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והשנייה</w:t>
      </w:r>
      <w:r>
        <w:rPr>
          <w:rFonts w:cs="David" w:ascii="David" w:hAnsi="David"/>
          <w:rtl w:val="true"/>
        </w:rPr>
        <w:t xml:space="preserve">, </w:t>
      </w:r>
      <w:r>
        <w:rPr>
          <w:rFonts w:ascii="David" w:hAnsi="David" w:cs="David"/>
          <w:rtl w:val="true"/>
        </w:rPr>
        <w:t>עסקאות בנכסים המצויים בבניינים שאינם עומדים בתנאים אלה</w:t>
      </w:r>
      <w:r>
        <w:rPr>
          <w:rFonts w:cs="David" w:ascii="David" w:hAnsi="David"/>
          <w:rtl w:val="true"/>
        </w:rPr>
        <w:t xml:space="preserve">, </w:t>
      </w:r>
      <w:r>
        <w:rPr>
          <w:rFonts w:ascii="David" w:hAnsi="David" w:cs="David"/>
          <w:rtl w:val="true"/>
        </w:rPr>
        <w:t xml:space="preserve">ואשר נבנו בסמוך ככל הניתן לשנת </w:t>
      </w:r>
      <w:r>
        <w:rPr>
          <w:rFonts w:cs="David" w:ascii="David" w:hAnsi="David"/>
        </w:rPr>
        <w:t>1980</w:t>
      </w:r>
      <w:r>
        <w:rPr>
          <w:rFonts w:cs="David" w:ascii="David" w:hAnsi="David"/>
          <w:color w:val="000000"/>
          <w:sz w:val="28"/>
          <w:shd w:fill="FFFFFF" w:val="clear"/>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 xml:space="preserve">להרחבה באשר לכל אחת מן הגישות ראו </w:t>
      </w:r>
      <w:r>
        <w:rPr>
          <w:rFonts w:ascii="Miriam" w:hAnsi="Miriam" w:cs="Miriam"/>
          <w:rtl w:val="true"/>
        </w:rPr>
        <w:t>עניין</w:t>
      </w:r>
      <w:r>
        <w:rPr>
          <w:rFonts w:ascii="David" w:hAnsi="David" w:cs="David"/>
          <w:rtl w:val="true"/>
        </w:rPr>
        <w:t xml:space="preserve"> </w:t>
      </w:r>
      <w:r>
        <w:rPr>
          <w:rFonts w:ascii="Miriam" w:hAnsi="Miriam" w:cs="Miriam"/>
          <w:rtl w:val="true"/>
        </w:rPr>
        <w:t>חברת לב העיר בלפור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לטעמנו</w:t>
      </w:r>
      <w:r>
        <w:rPr>
          <w:rFonts w:cs="David" w:ascii="David" w:hAnsi="David"/>
          <w:rtl w:val="true"/>
        </w:rPr>
        <w:t xml:space="preserve">, </w:t>
      </w:r>
      <w:r>
        <w:rPr>
          <w:rFonts w:ascii="David" w:hAnsi="David" w:cs="David"/>
          <w:rtl w:val="true"/>
        </w:rPr>
        <w:t xml:space="preserve">יישום ראוי וזהיר של </w:t>
      </w:r>
      <w:r>
        <w:rPr>
          <w:rFonts w:ascii="Miriam" w:hAnsi="Miriam" w:cs="Miriam"/>
          <w:rtl w:val="true"/>
        </w:rPr>
        <w:t>הלכת לויתן</w:t>
      </w:r>
      <w:r>
        <w:rPr>
          <w:rFonts w:ascii="David" w:hAnsi="David" w:cs="David"/>
          <w:rtl w:val="true"/>
        </w:rPr>
        <w:t xml:space="preserve"> מחייב מתודה המאפשרת בקרה אפקטיבית על הנתונים</w:t>
      </w:r>
      <w:r>
        <w:rPr>
          <w:rFonts w:cs="David" w:ascii="David" w:hAnsi="David"/>
          <w:rtl w:val="true"/>
        </w:rPr>
        <w:t xml:space="preserve">, </w:t>
      </w:r>
      <w:r>
        <w:rPr>
          <w:rFonts w:ascii="David" w:hAnsi="David" w:cs="David"/>
          <w:rtl w:val="true"/>
        </w:rPr>
        <w:t>ההנחות והתחשיבים שביסוד השומה</w:t>
      </w:r>
      <w:r>
        <w:rPr>
          <w:rFonts w:cs="David" w:ascii="David" w:hAnsi="David"/>
          <w:rtl w:val="true"/>
        </w:rPr>
        <w:t xml:space="preserve">. </w:t>
      </w:r>
      <w:r>
        <w:rPr>
          <w:rFonts w:ascii="David" w:hAnsi="David" w:cs="David"/>
          <w:rtl w:val="true"/>
        </w:rPr>
        <w:t>מענה לכך מצוי</w:t>
      </w:r>
      <w:r>
        <w:rPr>
          <w:rFonts w:cs="David" w:ascii="David" w:hAnsi="David"/>
          <w:rtl w:val="true"/>
        </w:rPr>
        <w:t xml:space="preserve">, </w:t>
      </w:r>
      <w:r>
        <w:rPr>
          <w:rFonts w:ascii="David" w:hAnsi="David" w:cs="David"/>
          <w:rtl w:val="true"/>
        </w:rPr>
        <w:t>לשיטתנו</w:t>
      </w:r>
      <w:r>
        <w:rPr>
          <w:rFonts w:cs="David" w:ascii="David" w:hAnsi="David"/>
          <w:rtl w:val="true"/>
        </w:rPr>
        <w:t xml:space="preserve">, </w:t>
      </w:r>
      <w:r>
        <w:rPr>
          <w:rFonts w:ascii="David" w:hAnsi="David" w:cs="David"/>
          <w:rtl w:val="true"/>
        </w:rPr>
        <w:t xml:space="preserve">באחת מן הגישות שהותוו </w:t>
      </w:r>
      <w:r>
        <w:rPr>
          <w:rFonts w:ascii="Miriam" w:hAnsi="Miriam" w:cs="Miriam"/>
          <w:rtl w:val="true"/>
        </w:rPr>
        <w:t>בעניין</w:t>
      </w:r>
      <w:r>
        <w:rPr>
          <w:rFonts w:ascii="David" w:hAnsi="David" w:cs="David"/>
          <w:rtl w:val="true"/>
        </w:rPr>
        <w:t xml:space="preserve"> </w:t>
      </w:r>
      <w:r>
        <w:rPr>
          <w:rFonts w:ascii="Miriam" w:hAnsi="Miriam" w:cs="Miriam"/>
          <w:rtl w:val="true"/>
        </w:rPr>
        <w:t>חברת לב העיר בלפור</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השמאית המכריעה תידרש לשוב ולהעריך את שווי המקרקעין מושא העררים במצב התכנוני הקודם</w:t>
      </w:r>
      <w:r>
        <w:rPr>
          <w:rFonts w:cs="David" w:ascii="David" w:hAnsi="David"/>
          <w:rtl w:val="true"/>
        </w:rPr>
        <w:t xml:space="preserve">, </w:t>
      </w:r>
      <w:bookmarkStart w:id="11" w:name="_Hlk240315582"/>
      <w:r>
        <w:rPr>
          <w:rFonts w:ascii="David" w:hAnsi="David" w:cs="David"/>
          <w:rtl w:val="true"/>
        </w:rPr>
        <w:t>והוראות לעניין זה יפורטו בפרק המסכם</w:t>
      </w:r>
      <w:bookmarkEnd w:id="11"/>
      <w:r>
        <w:rPr>
          <w:rFonts w:cs="David" w:ascii="David" w:hAnsi="David"/>
          <w:rtl w:val="true"/>
        </w:rPr>
        <w:t xml:space="preserve">. </w:t>
      </w:r>
    </w:p>
    <w:p>
      <w:pPr>
        <w:pStyle w:val="Ruller43"/>
        <w:suppressLineNumbers/>
        <w:spacing w:before="240" w:after="240"/>
        <w:ind w:start="510" w:end="0"/>
        <w:jc w:val="both"/>
        <w:rPr>
          <w:rFonts w:ascii="Miriam" w:hAnsi="Miriam" w:cs="Miriam"/>
        </w:rPr>
      </w:pPr>
      <w:r>
        <w:rPr>
          <w:rFonts w:ascii="Miriam" w:hAnsi="Miriam" w:cs="Miriam"/>
          <w:rtl w:val="true"/>
        </w:rPr>
        <w:t>סוף דבר</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לפנינו שומות מכריעות מפורטות ומנומקות</w:t>
      </w:r>
      <w:r>
        <w:rPr>
          <w:rFonts w:cs="David" w:ascii="David" w:hAnsi="David"/>
          <w:rtl w:val="true"/>
        </w:rPr>
        <w:t xml:space="preserve">, </w:t>
      </w:r>
      <w:r>
        <w:rPr>
          <w:rFonts w:ascii="David" w:hAnsi="David" w:cs="David"/>
          <w:rtl w:val="true"/>
        </w:rPr>
        <w:t>המבוססות על מסד נתונים סדור וברור</w:t>
      </w:r>
      <w:r>
        <w:rPr>
          <w:rFonts w:cs="David" w:ascii="David" w:hAnsi="David"/>
          <w:rtl w:val="true"/>
        </w:rPr>
        <w:t xml:space="preserve">. </w:t>
      </w:r>
      <w:r>
        <w:rPr>
          <w:rFonts w:ascii="David" w:hAnsi="David" w:cs="David"/>
          <w:rtl w:val="true"/>
        </w:rPr>
        <w:t>לא מצאנו בטענות הצדדים עילה המצדיקה התערבות בקביעותיה של השמאית המכריעה</w:t>
      </w:r>
      <w:r>
        <w:rPr>
          <w:rFonts w:cs="David" w:ascii="David" w:hAnsi="David"/>
          <w:rtl w:val="true"/>
        </w:rPr>
        <w:t xml:space="preserve">, </w:t>
      </w:r>
      <w:r>
        <w:rPr>
          <w:rFonts w:ascii="David" w:hAnsi="David" w:cs="David"/>
          <w:rtl w:val="true"/>
        </w:rPr>
        <w:t>למעט בנקודות שעליהן נעמוד להלן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בהתאם לעקרונות שעליהם עמדנו בהחלטה זו</w:t>
      </w:r>
      <w:r>
        <w:rPr>
          <w:rFonts w:cs="David" w:ascii="David" w:hAnsi="David"/>
          <w:rtl w:val="true"/>
        </w:rPr>
        <w:t xml:space="preserve">, </w:t>
      </w:r>
      <w:r>
        <w:rPr>
          <w:rFonts w:ascii="David" w:hAnsi="David" w:cs="David"/>
          <w:rtl w:val="true"/>
        </w:rPr>
        <w:t>מצאנו לאמץ את התחשיב שנערך בהנחה כי הפטור חל</w:t>
      </w:r>
      <w:r>
        <w:rPr>
          <w:rFonts w:cs="David" w:ascii="David" w:hAnsi="David"/>
          <w:rtl w:val="true"/>
        </w:rPr>
        <w:t xml:space="preserve">, </w:t>
      </w:r>
      <w:r>
        <w:rPr>
          <w:rFonts w:ascii="David" w:hAnsi="David" w:cs="David"/>
          <w:rtl w:val="true"/>
        </w:rPr>
        <w:t xml:space="preserve">וזאת בשים לב לכך שמרבית בעלי הזכויות זכאים לפטור בהתאם לאמות המידה שנקבעו </w:t>
      </w:r>
      <w:r>
        <w:rPr>
          <w:rFonts w:ascii="Miriam" w:hAnsi="Miriam" w:cs="Miriam"/>
          <w:rtl w:val="true"/>
        </w:rPr>
        <w:t>בעניין בקר</w:t>
      </w:r>
      <w:r>
        <w:rPr>
          <w:rFonts w:cs="David" w:ascii="David" w:hAnsi="David"/>
          <w:rtl w:val="true"/>
        </w:rPr>
        <w:t xml:space="preserve">. </w:t>
      </w:r>
      <w:r>
        <w:rPr>
          <w:rFonts w:ascii="David" w:hAnsi="David" w:cs="David"/>
          <w:rtl w:val="true"/>
        </w:rPr>
        <w:t>יתר טענות הצדדים בנוגע לשומות המכריעות נדחות</w:t>
      </w:r>
      <w:r>
        <w:rPr>
          <w:rFonts w:cs="David" w:ascii="David" w:hAnsi="David"/>
          <w:rtl w:val="true"/>
        </w:rPr>
        <w:t xml:space="preserve">, </w:t>
      </w:r>
      <w:r>
        <w:rPr>
          <w:rFonts w:ascii="David" w:hAnsi="David" w:cs="David"/>
          <w:rtl w:val="true"/>
        </w:rPr>
        <w:t>בכפוף להוראות שלהלן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השמאית המכריעה תקבע את שיעור החבות בגין מימוש זכויות הבנייה להקמת מרחבים מוגנים</w:t>
      </w:r>
      <w:r>
        <w:rPr>
          <w:rFonts w:cs="David" w:ascii="David" w:hAnsi="David"/>
          <w:rtl w:val="true"/>
        </w:rPr>
        <w:t xml:space="preserve">, </w:t>
      </w:r>
      <w:r>
        <w:rPr>
          <w:rFonts w:ascii="David" w:hAnsi="David" w:cs="David"/>
          <w:rtl w:val="true"/>
        </w:rPr>
        <w:t xml:space="preserve">בהתאם לעקרונות שנקבעו </w:t>
      </w:r>
      <w:r>
        <w:rPr>
          <w:rFonts w:ascii="Miriam" w:hAnsi="Miriam" w:cs="Miriam"/>
          <w:rtl w:val="true"/>
        </w:rPr>
        <w:t>בעניין בקר</w:t>
      </w:r>
      <w:r>
        <w:rPr>
          <w:rFonts w:cs="David" w:ascii="David" w:hAnsi="David"/>
          <w:rtl w:val="true"/>
        </w:rPr>
        <w:t xml:space="preserve">. </w:t>
      </w:r>
      <w:r>
        <w:rPr>
          <w:rFonts w:ascii="David" w:hAnsi="David" w:cs="David"/>
          <w:rtl w:val="true"/>
        </w:rPr>
        <w:t>לשם כך</w:t>
      </w:r>
      <w:r>
        <w:rPr>
          <w:rFonts w:cs="David" w:ascii="David" w:hAnsi="David"/>
          <w:rtl w:val="true"/>
        </w:rPr>
        <w:t xml:space="preserve">, </w:t>
      </w:r>
      <w:r>
        <w:rPr>
          <w:rFonts w:ascii="David" w:hAnsi="David" w:cs="David"/>
          <w:rtl w:val="true"/>
        </w:rPr>
        <w:t>יגישו הצדדים לשמאית המכריעה השלמת טיעון</w:t>
      </w:r>
      <w:r>
        <w:rPr>
          <w:rFonts w:cs="David" w:ascii="David" w:hAnsi="David"/>
          <w:rtl w:val="true"/>
        </w:rPr>
        <w:t xml:space="preserve">, </w:t>
      </w:r>
      <w:r>
        <w:rPr>
          <w:rFonts w:ascii="David" w:hAnsi="David" w:cs="David"/>
          <w:rtl w:val="true"/>
        </w:rPr>
        <w:t>ובה יפרטו את אופן יישומו של פסק הדין בנסיבות העניין ויציגו את הנתונים הנדרשים לצורך כך</w:t>
      </w:r>
      <w:r>
        <w:rPr>
          <w:rFonts w:cs="David" w:ascii="David" w:hAnsi="David"/>
          <w:rtl w:val="true"/>
        </w:rPr>
        <w:t xml:space="preserve">. </w:t>
      </w:r>
      <w:r>
        <w:rPr>
          <w:rFonts w:ascii="David" w:hAnsi="David" w:cs="David"/>
          <w:rtl w:val="true"/>
        </w:rPr>
        <w:t>סדרי הדין לעניין זה יקבעו על ידי השמאית המכריעה</w:t>
      </w:r>
      <w:r>
        <w:rPr>
          <w:rFonts w:cs="David" w:ascii="David" w:hAnsi="David"/>
          <w:rtl w:val="true"/>
        </w:rPr>
        <w:t xml:space="preserve">. </w:t>
      </w:r>
      <w:r>
        <w:rPr>
          <w:rFonts w:ascii="David" w:hAnsi="David" w:cs="David"/>
          <w:rtl w:val="true"/>
        </w:rPr>
        <w:t>ככל שלא יעמדו לפניה נתונים מספקים</w:t>
      </w:r>
      <w:r>
        <w:rPr>
          <w:rFonts w:cs="David" w:ascii="David" w:hAnsi="David"/>
          <w:rtl w:val="true"/>
        </w:rPr>
        <w:t xml:space="preserve">, </w:t>
      </w:r>
      <w:r>
        <w:rPr>
          <w:rFonts w:ascii="David" w:hAnsi="David" w:cs="David"/>
          <w:rtl w:val="true"/>
        </w:rPr>
        <w:t>תקבע השמאית המכריעה את שיעור החבות בגין המרחבים המוגנים על יסוד אומדן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השמאית המכריעה תעדכן את השומות המכריעות ותבהיר</w:t>
      </w:r>
      <w:r>
        <w:rPr>
          <w:rFonts w:cs="David" w:ascii="David" w:hAnsi="David"/>
          <w:rtl w:val="true"/>
        </w:rPr>
        <w:t xml:space="preserve">, </w:t>
      </w:r>
      <w:r>
        <w:rPr>
          <w:rFonts w:ascii="David" w:hAnsi="David" w:cs="David"/>
          <w:rtl w:val="true"/>
        </w:rPr>
        <w:t>במסגרת זו</w:t>
      </w:r>
      <w:r>
        <w:rPr>
          <w:rFonts w:cs="David" w:ascii="David" w:hAnsi="David"/>
          <w:rtl w:val="true"/>
        </w:rPr>
        <w:t xml:space="preserve">, </w:t>
      </w:r>
      <w:r>
        <w:rPr>
          <w:rFonts w:ascii="David" w:hAnsi="David" w:cs="David"/>
          <w:rtl w:val="true"/>
        </w:rPr>
        <w:t xml:space="preserve">את הטעם להכללת העסקה שנערכה בגוש </w:t>
      </w:r>
      <w:r>
        <w:rPr>
          <w:rFonts w:cs="David" w:ascii="David" w:hAnsi="David"/>
        </w:rPr>
        <w:t>7928</w:t>
      </w:r>
      <w:r>
        <w:rPr>
          <w:rFonts w:cs="David" w:ascii="David" w:hAnsi="David"/>
          <w:rtl w:val="true"/>
        </w:rPr>
        <w:t xml:space="preserve"> </w:t>
      </w:r>
      <w:r>
        <w:rPr>
          <w:rFonts w:ascii="David" w:hAnsi="David" w:cs="David"/>
          <w:rtl w:val="true"/>
        </w:rPr>
        <w:t xml:space="preserve">חלקה </w:t>
      </w:r>
      <w:r>
        <w:rPr>
          <w:rFonts w:cs="David" w:ascii="David" w:hAnsi="David"/>
        </w:rPr>
        <w:t>22</w:t>
      </w:r>
      <w:r>
        <w:rPr>
          <w:rFonts w:cs="David" w:ascii="David" w:hAnsi="David"/>
          <w:rtl w:val="true"/>
        </w:rPr>
        <w:t xml:space="preserve"> </w:t>
      </w:r>
      <w:r>
        <w:rPr>
          <w:rFonts w:ascii="David" w:hAnsi="David" w:cs="David"/>
          <w:rtl w:val="true"/>
        </w:rPr>
        <w:t>במסד הנתונים</w:t>
      </w:r>
      <w:r>
        <w:rPr>
          <w:rFonts w:cs="David" w:ascii="David" w:hAnsi="David"/>
          <w:rtl w:val="true"/>
        </w:rPr>
        <w:t xml:space="preserve">, </w:t>
      </w:r>
      <w:r>
        <w:rPr>
          <w:rFonts w:ascii="David" w:hAnsi="David" w:cs="David"/>
          <w:rtl w:val="true"/>
        </w:rPr>
        <w:t>בשים לב לחריגותה</w:t>
      </w:r>
      <w:r>
        <w:rPr>
          <w:rFonts w:cs="David" w:ascii="David" w:hAnsi="David"/>
          <w:rtl w:val="true"/>
        </w:rPr>
        <w:t xml:space="preserve">. </w:t>
      </w:r>
      <w:r>
        <w:rPr>
          <w:rFonts w:ascii="David" w:hAnsi="David" w:cs="David"/>
          <w:rtl w:val="true"/>
        </w:rPr>
        <w:t>אגב כך</w:t>
      </w:r>
      <w:r>
        <w:rPr>
          <w:rFonts w:cs="David" w:ascii="David" w:hAnsi="David"/>
          <w:rtl w:val="true"/>
        </w:rPr>
        <w:t xml:space="preserve">, </w:t>
      </w:r>
      <w:r>
        <w:rPr>
          <w:rFonts w:ascii="David" w:hAnsi="David" w:cs="David"/>
          <w:rtl w:val="true"/>
        </w:rPr>
        <w:t>תהא השמאית המכריעה רשאית לשוב ולעיין בקביעתה בעניין זה</w:t>
      </w:r>
      <w:r>
        <w:rPr>
          <w:rFonts w:cs="David" w:ascii="David" w:hAnsi="David"/>
          <w:rtl w:val="true"/>
        </w:rPr>
        <w:t xml:space="preserve">, </w:t>
      </w:r>
      <w:r>
        <w:rPr>
          <w:rFonts w:ascii="David" w:hAnsi="David" w:cs="David"/>
          <w:rtl w:val="true"/>
        </w:rPr>
        <w:t>וככל שתמצא כי יש מקום לנטרל עסקה זו ממסד הנתונים</w:t>
      </w:r>
      <w:r>
        <w:rPr>
          <w:rFonts w:cs="David" w:ascii="David" w:hAnsi="David"/>
          <w:rtl w:val="true"/>
        </w:rPr>
        <w:t xml:space="preserve">, </w:t>
      </w:r>
      <w:r>
        <w:rPr>
          <w:rFonts w:ascii="David" w:hAnsi="David" w:cs="David"/>
          <w:rtl w:val="true"/>
        </w:rPr>
        <w:t>תערוך את התחשיב מחדש בהתאם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כמו כן</w:t>
      </w:r>
      <w:r>
        <w:rPr>
          <w:rFonts w:cs="David" w:ascii="David" w:hAnsi="David"/>
          <w:rtl w:val="true"/>
        </w:rPr>
        <w:t xml:space="preserve">, </w:t>
      </w:r>
      <w:r>
        <w:rPr>
          <w:rFonts w:ascii="David" w:hAnsi="David" w:cs="David"/>
          <w:rtl w:val="true"/>
        </w:rPr>
        <w:t>השמאית המכריעה תשוב ותבחן את שווי המקרקעין מושא העררים במצב התכנוני הקודם</w:t>
      </w:r>
      <w:r>
        <w:rPr>
          <w:rFonts w:cs="David" w:ascii="David" w:hAnsi="David"/>
          <w:rtl w:val="true"/>
        </w:rPr>
        <w:t xml:space="preserve">, </w:t>
      </w:r>
      <w:r>
        <w:rPr>
          <w:rFonts w:ascii="David" w:hAnsi="David" w:cs="David"/>
          <w:rtl w:val="true"/>
        </w:rPr>
        <w:t>תוך מתן ביטוי להשפעתה של תמ</w:t>
      </w:r>
      <w:r>
        <w:rPr>
          <w:rFonts w:cs="David" w:ascii="David" w:hAnsi="David"/>
          <w:rtl w:val="true"/>
        </w:rPr>
        <w:t>"</w:t>
      </w:r>
      <w:r>
        <w:rPr>
          <w:rFonts w:ascii="David" w:hAnsi="David" w:cs="David"/>
          <w:rtl w:val="true"/>
        </w:rPr>
        <w:t xml:space="preserve">א </w:t>
      </w:r>
      <w:r>
        <w:rPr>
          <w:rFonts w:cs="David" w:ascii="David" w:hAnsi="David"/>
        </w:rPr>
        <w:t>38</w:t>
      </w:r>
      <w:r>
        <w:rPr>
          <w:rFonts w:cs="David" w:ascii="David" w:hAnsi="David"/>
          <w:rtl w:val="true"/>
        </w:rPr>
        <w:t xml:space="preserve"> </w:t>
      </w:r>
      <w:r>
        <w:rPr>
          <w:rFonts w:ascii="David" w:hAnsi="David" w:cs="David"/>
          <w:rtl w:val="true"/>
        </w:rPr>
        <w:t>על שווי המקרקעין</w:t>
      </w:r>
      <w:r>
        <w:rPr>
          <w:rFonts w:cs="David" w:ascii="David" w:hAnsi="David"/>
          <w:rtl w:val="true"/>
        </w:rPr>
        <w:t xml:space="preserve">, </w:t>
      </w:r>
      <w:r>
        <w:rPr>
          <w:rFonts w:ascii="David" w:hAnsi="David" w:cs="David"/>
          <w:rtl w:val="true"/>
        </w:rPr>
        <w:t>ככל שתמצא כי השפעה כאמור אכן קיימת</w:t>
      </w:r>
      <w:r>
        <w:rPr>
          <w:rFonts w:cs="David" w:ascii="David" w:hAnsi="David"/>
          <w:rtl w:val="true"/>
        </w:rPr>
        <w:t xml:space="preserve">. </w:t>
      </w:r>
      <w:r>
        <w:rPr>
          <w:rFonts w:ascii="David" w:hAnsi="David" w:cs="David"/>
          <w:rtl w:val="true"/>
        </w:rPr>
        <w:t>בחינה זו תיעשה על יסוד מסד נתונים שיאפשר להתחקות אחר רכיב זה ולבקר באופן אפקטיבי את הנתונים</w:t>
      </w:r>
      <w:r>
        <w:rPr>
          <w:rFonts w:cs="David" w:ascii="David" w:hAnsi="David"/>
          <w:rtl w:val="true"/>
        </w:rPr>
        <w:t xml:space="preserve">, </w:t>
      </w:r>
      <w:r>
        <w:rPr>
          <w:rFonts w:ascii="David" w:hAnsi="David" w:cs="David"/>
          <w:rtl w:val="true"/>
        </w:rPr>
        <w:t>ההנחות ודרך החישוב העומדים ביסוד התוצאה</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על השומות המכריעות המעודכנות – זכות ערר כדין</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בכפוף לאמור לעיל</w:t>
      </w:r>
      <w:r>
        <w:rPr>
          <w:rFonts w:cs="David" w:ascii="David" w:hAnsi="David"/>
          <w:rtl w:val="true"/>
        </w:rPr>
        <w:t xml:space="preserve">, </w:t>
      </w:r>
      <w:r>
        <w:rPr>
          <w:rFonts w:ascii="David" w:hAnsi="David" w:cs="David"/>
          <w:rtl w:val="true"/>
        </w:rPr>
        <w:t>העררים מתקבלים בחלקם</w:t>
      </w:r>
      <w:r>
        <w:rPr>
          <w:rFonts w:cs="David" w:ascii="David" w:hAnsi="David"/>
          <w:rtl w:val="true"/>
        </w:rPr>
        <w:t>.</w:t>
      </w:r>
    </w:p>
    <w:p>
      <w:pPr>
        <w:pStyle w:val="Ruller43"/>
        <w:numPr>
          <w:ilvl w:val="0"/>
          <w:numId w:val="14"/>
        </w:numPr>
        <w:spacing w:before="240" w:after="240"/>
        <w:ind w:hanging="510" w:start="510" w:end="0"/>
        <w:jc w:val="both"/>
        <w:rPr>
          <w:rFonts w:ascii="David" w:hAnsi="David" w:cs="David"/>
        </w:rPr>
      </w:pPr>
      <w:r>
        <w:rPr>
          <w:rFonts w:ascii="David" w:hAnsi="David" w:cs="David"/>
          <w:rtl w:val="true"/>
        </w:rPr>
        <w:t>בנסיבות העניין</w:t>
      </w:r>
      <w:r>
        <w:rPr>
          <w:rFonts w:cs="David" w:ascii="David" w:hAnsi="David"/>
          <w:rtl w:val="true"/>
        </w:rPr>
        <w:t xml:space="preserve">, </w:t>
      </w:r>
      <w:r>
        <w:rPr>
          <w:rFonts w:ascii="David" w:hAnsi="David" w:cs="David"/>
          <w:rtl w:val="true"/>
        </w:rPr>
        <w:t>כל צד יישא בהוצאותיו</w:t>
      </w:r>
      <w:r>
        <w:rPr>
          <w:rFonts w:cs="David" w:ascii="David" w:hAnsi="David"/>
          <w:rtl w:val="true"/>
        </w:rPr>
        <w:t>.</w:t>
      </w:r>
    </w:p>
    <w:p>
      <w:pPr>
        <w:pStyle w:val="Ruller43"/>
        <w:suppressLineNumbers/>
        <w:spacing w:before="240" w:after="240"/>
        <w:ind w:end="0"/>
        <w:jc w:val="both"/>
        <w:rPr>
          <w:rFonts w:ascii="Miriam" w:hAnsi="Miriam" w:cs="Miriam"/>
          <w:u w:val="single"/>
        </w:rPr>
      </w:pPr>
      <w:r>
        <w:rPr>
          <w:rFonts w:ascii="Miriam" w:hAnsi="Miriam" w:cs="Miriam"/>
          <w:u w:val="single"/>
          <w:rtl w:val="true"/>
        </w:rPr>
        <w:t>גב</w:t>
      </w:r>
      <w:r>
        <w:rPr>
          <w:rFonts w:cs="Miriam" w:ascii="Miriam" w:hAnsi="Miriam"/>
          <w:u w:val="single"/>
          <w:rtl w:val="true"/>
        </w:rPr>
        <w:t xml:space="preserve">' </w:t>
      </w:r>
      <w:r>
        <w:rPr>
          <w:rFonts w:ascii="Miriam" w:hAnsi="Miriam" w:cs="Miriam"/>
          <w:u w:val="single"/>
          <w:rtl w:val="true"/>
        </w:rPr>
        <w:t>נאוה סירקיס</w:t>
      </w:r>
      <w:r>
        <w:rPr>
          <w:rFonts w:cs="Miriam" w:ascii="Miriam" w:hAnsi="Miriam"/>
          <w:u w:val="single"/>
          <w:rtl w:val="true"/>
        </w:rPr>
        <w:t xml:space="preserve">, </w:t>
      </w:r>
      <w:r>
        <w:rPr>
          <w:rFonts w:ascii="Miriam" w:hAnsi="Miriam" w:cs="Miriam"/>
          <w:u w:val="single"/>
          <w:rtl w:val="true"/>
        </w:rPr>
        <w:t xml:space="preserve">שמאית מקרקעין </w:t>
      </w:r>
      <w:r>
        <w:rPr>
          <w:rFonts w:cs="Miriam" w:ascii="Miriam" w:hAnsi="Miriam"/>
          <w:u w:val="single"/>
          <w:rtl w:val="true"/>
        </w:rPr>
        <w:t>(</w:t>
      </w:r>
      <w:r>
        <w:rPr>
          <w:rFonts w:ascii="Miriam" w:hAnsi="Miriam" w:cs="Miriam"/>
          <w:u w:val="single"/>
          <w:rtl w:val="true"/>
        </w:rPr>
        <w:t>נציגת ציבור</w:t>
      </w:r>
      <w:r>
        <w:rPr>
          <w:rFonts w:cs="Miriam" w:ascii="Miriam" w:hAnsi="Miriam"/>
          <w:u w:val="single"/>
          <w:rtl w:val="true"/>
        </w:rPr>
        <w:t>)</w:t>
      </w:r>
    </w:p>
    <w:p>
      <w:pPr>
        <w:pStyle w:val="Ruller43"/>
        <w:numPr>
          <w:ilvl w:val="0"/>
          <w:numId w:val="15"/>
        </w:numPr>
        <w:tabs>
          <w:tab w:val="clear" w:pos="800"/>
        </w:tabs>
        <w:spacing w:before="240" w:after="240"/>
        <w:ind w:hanging="567" w:start="516" w:end="0"/>
        <w:jc w:val="both"/>
        <w:rPr>
          <w:rFonts w:ascii="David" w:hAnsi="David" w:cs="David"/>
        </w:rPr>
      </w:pPr>
      <w:r>
        <w:rPr>
          <w:rFonts w:ascii="David" w:hAnsi="David" w:cs="David"/>
          <w:rtl w:val="true"/>
        </w:rPr>
        <w:t xml:space="preserve">בערר </w:t>
      </w:r>
      <w:r>
        <w:rPr>
          <w:rFonts w:cs="David" w:ascii="David" w:hAnsi="David"/>
          <w:rtl w:val="true"/>
        </w:rPr>
        <w:t>(</w:t>
      </w:r>
      <w:r>
        <w:rPr>
          <w:rFonts w:ascii="David" w:hAnsi="David" w:cs="David"/>
          <w:rtl w:val="true"/>
        </w:rPr>
        <w:t>ועדות ערר – תכנון ובנייה מרכז</w:t>
      </w:r>
      <w:r>
        <w:rPr>
          <w:rFonts w:cs="David" w:ascii="David" w:hAnsi="David"/>
          <w:rtl w:val="true"/>
        </w:rPr>
        <w:t xml:space="preserve">) </w:t>
      </w:r>
      <w:r>
        <w:rPr>
          <w:rFonts w:cs="David" w:ascii="David" w:hAnsi="David"/>
        </w:rPr>
        <w:t>8049-08-25</w:t>
      </w:r>
      <w:r>
        <w:rPr>
          <w:rFonts w:cs="David" w:ascii="David" w:hAnsi="David"/>
          <w:rtl w:val="true"/>
        </w:rPr>
        <w:t xml:space="preserve"> </w:t>
      </w:r>
      <w:r>
        <w:rPr>
          <w:rFonts w:ascii="David" w:hAnsi="David" w:cs="David"/>
          <w:b/>
          <w:b/>
          <w:bCs/>
          <w:rtl w:val="true"/>
        </w:rPr>
        <w:t>פרטיאלי אבנר נ</w:t>
      </w:r>
      <w:r>
        <w:rPr>
          <w:rFonts w:cs="David" w:ascii="David" w:hAnsi="David"/>
          <w:b/>
          <w:bCs/>
          <w:rtl w:val="true"/>
        </w:rPr>
        <w:t xml:space="preserve">' </w:t>
      </w:r>
      <w:r>
        <w:rPr>
          <w:rFonts w:ascii="David" w:hAnsi="David" w:cs="David"/>
          <w:b/>
          <w:b/>
          <w:bCs/>
          <w:rtl w:val="true"/>
        </w:rPr>
        <w:t>הוועדה המקומית לתכנון ובנייה פתח תקווה</w:t>
      </w:r>
      <w:r>
        <w:rPr>
          <w:rFonts w:ascii="David" w:hAnsi="David" w:cs="David"/>
          <w:rtl w:val="true"/>
        </w:rPr>
        <w:t xml:space="preserve"> </w:t>
      </w:r>
      <w:r>
        <w:rPr>
          <w:rFonts w:cs="David" w:ascii="David" w:hAnsi="David"/>
          <w:rtl w:val="true"/>
        </w:rPr>
        <w:t>(</w:t>
      </w:r>
      <w:r>
        <w:rPr>
          <w:rFonts w:ascii="David" w:hAnsi="David" w:cs="David"/>
          <w:rtl w:val="true"/>
        </w:rPr>
        <w:t xml:space="preserve">נבו </w:t>
      </w:r>
      <w:r>
        <w:rPr>
          <w:rFonts w:cs="David" w:ascii="David" w:hAnsi="David"/>
        </w:rPr>
        <w:t>17.6.2026</w:t>
      </w:r>
      <w:r>
        <w:rPr>
          <w:rFonts w:cs="David" w:ascii="David" w:hAnsi="David"/>
          <w:rtl w:val="true"/>
        </w:rPr>
        <w:t xml:space="preserve">), </w:t>
      </w:r>
      <w:r>
        <w:rPr>
          <w:rFonts w:ascii="David" w:hAnsi="David" w:cs="David"/>
          <w:rtl w:val="true"/>
        </w:rPr>
        <w:t>סברתי כי בנסיבות אותו מקרה אין תחולה לפטור הקבוע ב</w:t>
      </w:r>
      <w:hyperlink r:id="rId28">
        <w:r>
          <w:rPr>
            <w:rStyle w:val="Hyperlink"/>
            <w:rFonts w:ascii="David" w:hAnsi="David" w:cs="David"/>
            <w:rtl w:val="true"/>
          </w:rPr>
          <w:t xml:space="preserve">סעיף </w:t>
        </w:r>
        <w:r>
          <w:rPr>
            <w:rStyle w:val="Hyperlink"/>
            <w:rFonts w:cs="David" w:ascii="David" w:hAnsi="David"/>
          </w:rPr>
          <w:t>19</w:t>
        </w:r>
        <w:r>
          <w:rPr>
            <w:rStyle w:val="Hyperlink"/>
            <w:rFonts w:cs="David" w:ascii="David" w:hAnsi="David"/>
            <w:rtl w:val="true"/>
          </w:rPr>
          <w:t>(</w:t>
        </w:r>
        <w:r>
          <w:rPr>
            <w:rStyle w:val="Hyperlink"/>
            <w:rFonts w:ascii="David" w:hAnsi="David" w:cs="David"/>
            <w:rtl w:val="true"/>
          </w:rPr>
          <w:t>ב</w:t>
        </w:r>
        <w:r>
          <w:rPr>
            <w:rStyle w:val="Hyperlink"/>
            <w:rFonts w:cs="David" w:ascii="David" w:hAnsi="David"/>
            <w:rtl w:val="true"/>
          </w:rPr>
          <w:t>)(</w:t>
        </w:r>
        <w:r>
          <w:rPr>
            <w:rStyle w:val="Hyperlink"/>
            <w:rFonts w:cs="David" w:ascii="David" w:hAnsi="David"/>
          </w:rPr>
          <w:t>9</w:t>
        </w:r>
        <w:r>
          <w:rPr>
            <w:rStyle w:val="Hyperlink"/>
            <w:rFonts w:cs="David" w:ascii="David" w:hAnsi="David"/>
            <w:rtl w:val="true"/>
          </w:rPr>
          <w:t>)</w:t>
        </w:r>
      </w:hyperlink>
      <w:r>
        <w:rPr>
          <w:rFonts w:cs="David" w:ascii="David" w:hAnsi="David"/>
          <w:rtl w:val="true"/>
        </w:rPr>
        <w:t xml:space="preserve"> </w:t>
      </w:r>
      <w:r>
        <w:rPr>
          <w:rFonts w:ascii="David" w:hAnsi="David" w:cs="David"/>
          <w:rtl w:val="true"/>
        </w:rPr>
        <w:t>לתוספת השלישית ל</w:t>
      </w:r>
      <w:hyperlink r:id="rId29">
        <w:r>
          <w:rPr>
            <w:rStyle w:val="Hyperlink"/>
            <w:rFonts w:ascii="David" w:hAnsi="David" w:cs="David"/>
            <w:color w:val="0000FF"/>
            <w:u w:val="single"/>
            <w:rtl w:val="true"/>
          </w:rPr>
          <w:t>חוק התכנון והבניה</w:t>
        </w:r>
      </w:hyperlink>
      <w:r>
        <w:rPr>
          <w:rFonts w:cs="David" w:ascii="David" w:hAnsi="David"/>
          <w:rtl w:val="true"/>
        </w:rPr>
        <w:t xml:space="preserve">, </w:t>
      </w:r>
      <w:r>
        <w:rPr>
          <w:rFonts w:ascii="David" w:hAnsi="David" w:cs="David"/>
          <w:rtl w:val="true"/>
        </w:rPr>
        <w:t>התשכ</w:t>
      </w:r>
      <w:r>
        <w:rPr>
          <w:rFonts w:cs="David" w:ascii="David" w:hAnsi="David"/>
          <w:rtl w:val="true"/>
        </w:rPr>
        <w:t>"</w:t>
      </w:r>
      <w:r>
        <w:rPr>
          <w:rFonts w:ascii="David" w:hAnsi="David" w:cs="David"/>
          <w:rtl w:val="true"/>
        </w:rPr>
        <w:t>ה</w:t>
      </w:r>
      <w:r>
        <w:rPr>
          <w:rFonts w:cs="David" w:ascii="David" w:hAnsi="David"/>
          <w:rtl w:val="true"/>
        </w:rPr>
        <w:t>-</w:t>
      </w:r>
      <w:r>
        <w:rPr>
          <w:rFonts w:cs="David" w:ascii="David" w:hAnsi="David"/>
        </w:rPr>
        <w:t>1965</w:t>
      </w:r>
      <w:r>
        <w:rPr>
          <w:rFonts w:cs="David" w:ascii="David" w:hAnsi="David"/>
          <w:rtl w:val="true"/>
        </w:rPr>
        <w:t xml:space="preserve">. </w:t>
      </w:r>
      <w:r>
        <w:rPr>
          <w:rFonts w:ascii="David" w:hAnsi="David" w:cs="David"/>
          <w:rtl w:val="true"/>
        </w:rPr>
        <w:t>ואולם</w:t>
      </w:r>
      <w:r>
        <w:rPr>
          <w:rFonts w:cs="David" w:ascii="David" w:hAnsi="David"/>
          <w:rtl w:val="true"/>
        </w:rPr>
        <w:t xml:space="preserve">, </w:t>
      </w:r>
      <w:r>
        <w:rPr>
          <w:rFonts w:ascii="David" w:hAnsi="David" w:cs="David"/>
          <w:rtl w:val="true"/>
        </w:rPr>
        <w:t>ענייננו בנסיבות שונות</w:t>
      </w:r>
      <w:r>
        <w:rPr>
          <w:rFonts w:cs="David" w:ascii="David" w:hAnsi="David"/>
          <w:rtl w:val="true"/>
        </w:rPr>
        <w:t xml:space="preserve">, </w:t>
      </w:r>
      <w:r>
        <w:rPr>
          <w:rFonts w:ascii="David" w:hAnsi="David" w:cs="David"/>
          <w:rtl w:val="true"/>
        </w:rPr>
        <w:t>הנוגעות לפרויקט פינוי בינוי</w:t>
      </w:r>
      <w:r>
        <w:rPr>
          <w:rFonts w:cs="David" w:ascii="David" w:hAnsi="David"/>
          <w:rtl w:val="true"/>
        </w:rPr>
        <w:t xml:space="preserve">. </w:t>
      </w:r>
      <w:r>
        <w:rPr>
          <w:rFonts w:ascii="David" w:hAnsi="David" w:cs="David"/>
          <w:rtl w:val="true"/>
        </w:rPr>
        <w:t>לטעמי</w:t>
      </w:r>
      <w:r>
        <w:rPr>
          <w:rFonts w:cs="David" w:ascii="David" w:hAnsi="David"/>
          <w:rtl w:val="true"/>
        </w:rPr>
        <w:t xml:space="preserve">, </w:t>
      </w:r>
      <w:r>
        <w:rPr>
          <w:rFonts w:ascii="David" w:hAnsi="David" w:cs="David"/>
          <w:rtl w:val="true"/>
        </w:rPr>
        <w:t>קיים שוני מהותי בין המקרים</w:t>
      </w:r>
      <w:r>
        <w:rPr>
          <w:rFonts w:cs="David" w:ascii="David" w:hAnsi="David"/>
          <w:rtl w:val="true"/>
        </w:rPr>
        <w:t xml:space="preserve">, </w:t>
      </w:r>
      <w:r>
        <w:rPr>
          <w:rFonts w:ascii="David" w:hAnsi="David" w:cs="David"/>
          <w:rtl w:val="true"/>
        </w:rPr>
        <w:t>ובנסיבות המקרה דנן</w:t>
      </w:r>
      <w:r>
        <w:rPr>
          <w:rFonts w:cs="David" w:ascii="David" w:hAnsi="David"/>
          <w:rtl w:val="true"/>
        </w:rPr>
        <w:t xml:space="preserve">, </w:t>
      </w:r>
      <w:r>
        <w:rPr>
          <w:rFonts w:ascii="David" w:hAnsi="David" w:cs="David"/>
          <w:rtl w:val="true"/>
        </w:rPr>
        <w:t>המתאפיינות במיזם שונה בתכלית</w:t>
      </w:r>
      <w:r>
        <w:rPr>
          <w:rFonts w:cs="David" w:ascii="David" w:hAnsi="David"/>
          <w:rtl w:val="true"/>
        </w:rPr>
        <w:t xml:space="preserve">, </w:t>
      </w:r>
      <w:r>
        <w:rPr>
          <w:rFonts w:ascii="David" w:hAnsi="David" w:cs="David"/>
          <w:rtl w:val="true"/>
        </w:rPr>
        <w:t>מקובלת עליי החלטת חברי בהרכב</w:t>
      </w:r>
      <w:r>
        <w:rPr>
          <w:rFonts w:cs="David" w:ascii="David" w:hAnsi="David"/>
          <w:rtl w:val="true"/>
        </w:rPr>
        <w:t>.</w:t>
      </w:r>
    </w:p>
    <w:p>
      <w:pPr>
        <w:pStyle w:val="Ruller43"/>
        <w:suppressLineNumbers/>
        <w:spacing w:before="240" w:after="240"/>
        <w:ind w:end="0"/>
        <w:jc w:val="both"/>
        <w:rPr>
          <w:rFonts w:ascii="David" w:hAnsi="David" w:cs="David"/>
        </w:rPr>
      </w:pPr>
      <w:r>
        <w:rPr>
          <w:rFonts w:ascii="David" w:hAnsi="David" w:cs="David"/>
          <w:rtl w:val="true"/>
        </w:rPr>
        <w:t>הוחלט פה אחד כאמור בחוות דעתו של יו</w:t>
      </w:r>
      <w:r>
        <w:rPr>
          <w:rFonts w:cs="David" w:ascii="David" w:hAnsi="David"/>
          <w:rtl w:val="true"/>
        </w:rPr>
        <w:t>"</w:t>
      </w:r>
      <w:r>
        <w:rPr>
          <w:rFonts w:ascii="David" w:hAnsi="David" w:cs="David"/>
          <w:rtl w:val="true"/>
        </w:rPr>
        <w:t>ר הוועדה</w:t>
      </w:r>
      <w:r>
        <w:rPr>
          <w:rFonts w:cs="David" w:ascii="David" w:hAnsi="David"/>
          <w:rtl w:val="true"/>
        </w:rPr>
        <w:t xml:space="preserve">, </w:t>
      </w:r>
      <w:r>
        <w:rPr>
          <w:rFonts w:ascii="David" w:hAnsi="David" w:cs="David"/>
          <w:rtl w:val="true"/>
        </w:rPr>
        <w:t>עו</w:t>
      </w:r>
      <w:r>
        <w:rPr>
          <w:rFonts w:cs="David" w:ascii="David" w:hAnsi="David"/>
          <w:rtl w:val="true"/>
        </w:rPr>
        <w:t>"</w:t>
      </w:r>
      <w:r>
        <w:rPr>
          <w:rFonts w:ascii="David" w:hAnsi="David" w:cs="David"/>
          <w:rtl w:val="true"/>
        </w:rPr>
        <w:t>ד סגלוביץ</w:t>
      </w:r>
      <w:r>
        <w:rPr>
          <w:rFonts w:cs="David" w:ascii="David" w:hAnsi="David"/>
          <w:rtl w:val="true"/>
        </w:rPr>
        <w:t>'.</w:t>
      </w:r>
    </w:p>
    <w:p>
      <w:pPr>
        <w:pStyle w:val="Ruller43"/>
        <w:suppressLineNumbers/>
        <w:spacing w:before="240" w:after="240"/>
        <w:ind w:end="0"/>
        <w:jc w:val="both"/>
        <w:rPr>
          <w:rFonts w:ascii="David" w:hAnsi="David" w:cs="David"/>
        </w:rPr>
      </w:pPr>
      <w:bookmarkStart w:id="12" w:name="Nitan"/>
      <w:r>
        <w:rPr>
          <w:rFonts w:ascii="David" w:hAnsi="David" w:cs="David"/>
          <w:rtl w:val="true"/>
        </w:rPr>
        <w:t>ניתנה היום</w:t>
      </w:r>
      <w:r>
        <w:rPr>
          <w:rFonts w:cs="David" w:ascii="David" w:hAnsi="David"/>
          <w:rtl w:val="true"/>
        </w:rPr>
        <w:t xml:space="preserve">, </w:t>
      </w:r>
      <w:r>
        <w:rPr>
          <w:rFonts w:ascii="David" w:hAnsi="David" w:cs="David"/>
          <w:rtl w:val="true"/>
        </w:rPr>
        <w:t>כ</w:t>
      </w:r>
      <w:r>
        <w:rPr>
          <w:rFonts w:cs="David" w:ascii="David" w:hAnsi="David"/>
          <w:rtl w:val="true"/>
        </w:rPr>
        <w:t>"</w:t>
      </w:r>
      <w:r>
        <w:rPr>
          <w:rFonts w:ascii="David" w:hAnsi="David" w:cs="David"/>
          <w:rtl w:val="true"/>
        </w:rPr>
        <w:t>ד תשרי ה</w:t>
      </w:r>
      <w:r>
        <w:rPr>
          <w:rFonts w:cs="David" w:ascii="David" w:hAnsi="David"/>
          <w:rtl w:val="true"/>
        </w:rPr>
        <w:t>'</w:t>
      </w:r>
      <w:r>
        <w:rPr>
          <w:rFonts w:ascii="David" w:hAnsi="David" w:cs="David"/>
          <w:rtl w:val="true"/>
        </w:rPr>
        <w:t>תשפ</w:t>
      </w:r>
      <w:r>
        <w:rPr>
          <w:rFonts w:cs="David" w:ascii="David" w:hAnsi="David"/>
          <w:rtl w:val="true"/>
        </w:rPr>
        <w:t>"</w:t>
      </w:r>
      <w:r>
        <w:rPr>
          <w:rFonts w:ascii="David" w:hAnsi="David" w:cs="David"/>
          <w:rtl w:val="true"/>
        </w:rPr>
        <w:t>ז</w:t>
      </w:r>
      <w:r>
        <w:rPr>
          <w:rFonts w:cs="David" w:ascii="David" w:hAnsi="David"/>
          <w:rtl w:val="true"/>
        </w:rPr>
        <w:t xml:space="preserve">, </w:t>
      </w:r>
      <w:r>
        <w:rPr>
          <w:rFonts w:cs="David" w:ascii="David" w:hAnsi="David"/>
        </w:rPr>
        <w:t>5</w:t>
      </w:r>
      <w:r>
        <w:rPr>
          <w:rFonts w:cs="David" w:ascii="David" w:hAnsi="David"/>
          <w:rtl w:val="true"/>
        </w:rPr>
        <w:t xml:space="preserve"> </w:t>
      </w:r>
      <w:r>
        <w:rPr>
          <w:rFonts w:ascii="David" w:hAnsi="David" w:cs="David"/>
          <w:rtl w:val="true"/>
        </w:rPr>
        <w:t xml:space="preserve">אוקטובר </w:t>
      </w:r>
      <w:r>
        <w:rPr>
          <w:rFonts w:cs="David" w:ascii="David" w:hAnsi="David"/>
        </w:rPr>
        <w:t>2026</w:t>
      </w:r>
      <w:r>
        <w:rPr>
          <w:rFonts w:cs="David" w:ascii="David" w:hAnsi="David"/>
          <w:rtl w:val="true"/>
        </w:rPr>
        <w:t xml:space="preserve">. </w:t>
      </w:r>
      <w:bookmarkEnd w:id="12"/>
    </w:p>
    <w:tbl>
      <w:tblPr>
        <w:bidiVisual w:val="true"/>
        <w:tblW w:w="8019" w:type="dxa"/>
        <w:jc w:val="start"/>
        <w:tblInd w:w="-1" w:type="dxa"/>
        <w:tblLayout w:type="fixed"/>
        <w:tblCellMar>
          <w:top w:w="0" w:type="dxa"/>
          <w:start w:w="108" w:type="dxa"/>
          <w:bottom w:w="0" w:type="dxa"/>
          <w:end w:w="108" w:type="dxa"/>
        </w:tblCellMar>
      </w:tblPr>
      <w:tblGrid>
        <w:gridCol w:w="2683"/>
        <w:gridCol w:w="2643"/>
        <w:gridCol w:w="2693"/>
      </w:tblGrid>
      <w:tr>
        <w:trPr/>
        <w:tc>
          <w:tcPr>
            <w:tcW w:w="2683" w:type="dxa"/>
            <w:tcBorders/>
          </w:tcPr>
          <w:p>
            <w:pPr>
              <w:pStyle w:val="Ruller43"/>
              <w:suppressLineNumbers/>
              <w:pBdr>
                <w:bottom w:val="single" w:sz="12" w:space="1" w:color="000000"/>
              </w:pBdr>
              <w:tabs>
                <w:tab w:val="clear" w:pos="800"/>
              </w:tabs>
              <w:snapToGrid w:val="false"/>
              <w:spacing w:lineRule="auto" w:line="240"/>
              <w:ind w:end="0"/>
              <w:jc w:val="center"/>
              <w:rPr>
                <w:rFonts w:ascii="David" w:hAnsi="David" w:cs="David"/>
              </w:rPr>
            </w:pPr>
            <w:r>
              <w:rPr>
                <w:rFonts w:cs="David" w:ascii="David" w:hAnsi="David"/>
                <w:rtl w:val="true"/>
              </w:rPr>
            </w:r>
          </w:p>
          <w:p>
            <w:pPr>
              <w:pStyle w:val="Ruller43"/>
              <w:suppressLineNumbers/>
              <w:spacing w:lineRule="auto" w:line="240"/>
              <w:ind w:end="0"/>
              <w:jc w:val="center"/>
              <w:rPr>
                <w:rFonts w:ascii="David" w:hAnsi="David" w:cs="David"/>
              </w:rPr>
            </w:pPr>
            <w:r>
              <w:rPr>
                <w:rFonts w:ascii="David" w:hAnsi="David" w:cs="David"/>
                <w:rtl w:val="true"/>
              </w:rPr>
              <w:t>מורן יחיא</w:t>
            </w:r>
          </w:p>
          <w:p>
            <w:pPr>
              <w:pStyle w:val="Ruller43"/>
              <w:suppressLineNumbers/>
              <w:spacing w:lineRule="auto" w:line="240"/>
              <w:ind w:end="0"/>
              <w:jc w:val="center"/>
              <w:rPr>
                <w:rFonts w:ascii="David" w:hAnsi="David" w:cs="David"/>
              </w:rPr>
            </w:pPr>
            <w:r>
              <w:rPr>
                <w:rFonts w:ascii="David" w:hAnsi="David" w:cs="David"/>
                <w:rtl w:val="true"/>
              </w:rPr>
              <w:t>מזכירת ועדת ערר</w:t>
            </w:r>
          </w:p>
          <w:p>
            <w:pPr>
              <w:pStyle w:val="Ruller43"/>
              <w:suppressLineNumbers/>
              <w:tabs>
                <w:tab w:val="clear" w:pos="800"/>
              </w:tabs>
              <w:spacing w:lineRule="auto" w:line="240"/>
              <w:ind w:end="0"/>
              <w:jc w:val="center"/>
              <w:rPr>
                <w:rFonts w:ascii="David" w:hAnsi="David" w:cs="David"/>
              </w:rPr>
            </w:pPr>
            <w:r>
              <w:rPr>
                <w:rFonts w:ascii="David" w:hAnsi="David" w:cs="David"/>
                <w:rtl w:val="true"/>
              </w:rPr>
              <w:t>מחוז מרכז</w:t>
            </w:r>
          </w:p>
        </w:tc>
        <w:tc>
          <w:tcPr>
            <w:tcW w:w="2643" w:type="dxa"/>
            <w:tcBorders/>
          </w:tcPr>
          <w:p>
            <w:pPr>
              <w:pStyle w:val="Ruller43"/>
              <w:suppressLineNumbers/>
              <w:tabs>
                <w:tab w:val="clear" w:pos="800"/>
              </w:tabs>
              <w:snapToGrid w:val="false"/>
              <w:spacing w:lineRule="auto" w:line="240"/>
              <w:ind w:end="0"/>
              <w:jc w:val="center"/>
              <w:rPr>
                <w:rFonts w:ascii="David" w:hAnsi="David" w:cs="David"/>
              </w:rPr>
            </w:pPr>
            <w:r>
              <w:rPr>
                <w:rFonts w:cs="David" w:ascii="David" w:hAnsi="David"/>
                <w:rtl w:val="true"/>
              </w:rPr>
            </w:r>
          </w:p>
        </w:tc>
        <w:tc>
          <w:tcPr>
            <w:tcW w:w="2693" w:type="dxa"/>
            <w:tcBorders/>
          </w:tcPr>
          <w:p>
            <w:pPr>
              <w:pStyle w:val="Ruller43"/>
              <w:suppressLineNumbers/>
              <w:pBdr>
                <w:bottom w:val="single" w:sz="12" w:space="1" w:color="000000"/>
              </w:pBdr>
              <w:tabs>
                <w:tab w:val="clear" w:pos="800"/>
              </w:tabs>
              <w:snapToGrid w:val="false"/>
              <w:spacing w:lineRule="auto" w:line="240"/>
              <w:ind w:end="0"/>
              <w:jc w:val="center"/>
              <w:rPr>
                <w:rFonts w:ascii="David" w:hAnsi="David" w:cs="David"/>
              </w:rPr>
            </w:pPr>
            <w:r>
              <w:rPr>
                <w:rFonts w:cs="David" w:ascii="David" w:hAnsi="David"/>
                <w:rtl w:val="true"/>
              </w:rPr>
            </w:r>
          </w:p>
          <w:p>
            <w:pPr>
              <w:pStyle w:val="Ruller43"/>
              <w:suppressLineNumbers/>
              <w:spacing w:lineRule="auto" w:line="240"/>
              <w:ind w:end="0"/>
              <w:jc w:val="center"/>
              <w:rPr>
                <w:rFonts w:ascii="David" w:hAnsi="David" w:cs="David"/>
              </w:rPr>
            </w:pPr>
            <w:r>
              <w:rPr>
                <w:rFonts w:ascii="David" w:hAnsi="David" w:cs="David"/>
                <w:rtl w:val="true"/>
              </w:rPr>
              <w:t>דביר סגלוביץ</w:t>
            </w:r>
            <w:r>
              <w:rPr>
                <w:rFonts w:cs="David" w:ascii="David" w:hAnsi="David"/>
                <w:rtl w:val="true"/>
              </w:rPr>
              <w:t xml:space="preserve">', </w:t>
            </w:r>
            <w:r>
              <w:rPr>
                <w:rFonts w:ascii="David" w:hAnsi="David" w:cs="David"/>
                <w:rtl w:val="true"/>
              </w:rPr>
              <w:t>עו</w:t>
            </w:r>
            <w:r>
              <w:rPr>
                <w:rFonts w:cs="David" w:ascii="David" w:hAnsi="David"/>
                <w:rtl w:val="true"/>
              </w:rPr>
              <w:t>"</w:t>
            </w:r>
            <w:r>
              <w:rPr>
                <w:rFonts w:ascii="David" w:hAnsi="David" w:cs="David"/>
                <w:rtl w:val="true"/>
              </w:rPr>
              <w:t>ד</w:t>
            </w:r>
          </w:p>
          <w:p>
            <w:pPr>
              <w:pStyle w:val="Ruller43"/>
              <w:suppressLineNumbers/>
              <w:spacing w:lineRule="auto" w:line="240"/>
              <w:ind w:end="0"/>
              <w:jc w:val="center"/>
              <w:rPr>
                <w:rFonts w:ascii="David" w:hAnsi="David" w:cs="David"/>
              </w:rPr>
            </w:pPr>
            <w:r>
              <w:rPr>
                <w:rFonts w:ascii="David" w:hAnsi="David" w:cs="David"/>
                <w:rtl w:val="true"/>
              </w:rPr>
              <w:t>יו</w:t>
            </w:r>
            <w:r>
              <w:rPr>
                <w:rFonts w:cs="David" w:ascii="David" w:hAnsi="David"/>
                <w:rtl w:val="true"/>
              </w:rPr>
              <w:t>"</w:t>
            </w:r>
            <w:r>
              <w:rPr>
                <w:rFonts w:ascii="David" w:hAnsi="David" w:cs="David"/>
                <w:rtl w:val="true"/>
              </w:rPr>
              <w:t>ר ועדת ערר</w:t>
            </w:r>
          </w:p>
          <w:p>
            <w:pPr>
              <w:pStyle w:val="Ruller43"/>
              <w:suppressLineNumbers/>
              <w:tabs>
                <w:tab w:val="clear" w:pos="800"/>
              </w:tabs>
              <w:spacing w:lineRule="auto" w:line="240"/>
              <w:ind w:end="0"/>
              <w:jc w:val="center"/>
              <w:rPr>
                <w:rFonts w:ascii="David" w:hAnsi="David" w:cs="David"/>
              </w:rPr>
            </w:pPr>
            <w:r>
              <w:rPr>
                <w:rFonts w:ascii="David" w:hAnsi="David" w:cs="David"/>
                <w:rtl w:val="true"/>
              </w:rPr>
              <w:t>מחוז מרכז</w:t>
            </w:r>
          </w:p>
        </w:tc>
      </w:tr>
    </w:tbl>
    <w:p>
      <w:pPr>
        <w:pStyle w:val="Ruller43"/>
        <w:suppressLineNumbers/>
        <w:tabs>
          <w:tab w:val="clear" w:pos="800"/>
        </w:tabs>
        <w:spacing w:before="240" w:after="240"/>
        <w:ind w:end="0"/>
        <w:jc w:val="start"/>
        <w:rPr>
          <w:rFonts w:ascii="David" w:hAnsi="David" w:cs="David"/>
          <w:color w:val="000000"/>
        </w:rPr>
      </w:pPr>
      <w:r>
        <w:rPr>
          <w:rFonts w:cs="David" w:ascii="David" w:hAnsi="David"/>
          <w:color w:val="000000"/>
          <w:rtl w:val="true"/>
        </w:rPr>
      </w:r>
    </w:p>
    <w:p>
      <w:pPr>
        <w:pStyle w:val="Ruller43"/>
        <w:suppressLineNumbers/>
        <w:tabs>
          <w:tab w:val="clear" w:pos="800"/>
        </w:tabs>
        <w:spacing w:before="240" w:after="240"/>
        <w:ind w:end="0"/>
        <w:jc w:val="start"/>
        <w:rPr>
          <w:rFonts w:ascii="David" w:hAnsi="David" w:cs="David"/>
        </w:rPr>
      </w:pPr>
      <w:r>
        <w:rPr>
          <w:rFonts w:ascii="David" w:hAnsi="David" w:cs="David"/>
          <w:color w:val="000000"/>
          <w:rtl w:val="true"/>
        </w:rPr>
        <w:t>נוסח מסמך זה כפוף לשינויי ניסוח ועריכה</w:t>
      </w:r>
    </w:p>
    <w:p>
      <w:pPr>
        <w:pStyle w:val="Ruller43"/>
        <w:suppressLineNumbers/>
        <w:tabs>
          <w:tab w:val="clear" w:pos="800"/>
        </w:tabs>
        <w:spacing w:before="240" w:after="240"/>
        <w:ind w:end="0"/>
        <w:jc w:val="start"/>
        <w:rPr>
          <w:rFonts w:ascii="David" w:hAnsi="David" w:cs="David"/>
        </w:rPr>
      </w:pPr>
      <w:r>
        <w:rPr>
          <w:rFonts w:cs="David" w:ascii="David" w:hAnsi="David"/>
          <w:rtl w:val="true"/>
        </w:rPr>
      </w:r>
    </w:p>
    <w:p>
      <w:pPr>
        <w:pStyle w:val="Ruller43"/>
        <w:suppressLineNumbers/>
        <w:tabs>
          <w:tab w:val="clear" w:pos="800"/>
        </w:tabs>
        <w:spacing w:before="240" w:after="240"/>
        <w:ind w:end="0"/>
        <w:jc w:val="center"/>
        <w:rPr>
          <w:rFonts w:ascii="David" w:hAnsi="David" w:cs="David"/>
          <w:color w:val="0000FF"/>
          <w:szCs w:val="24"/>
          <w:u w:val="single"/>
        </w:rPr>
      </w:pPr>
      <w:hyperlink r:id="rId30">
        <w:r>
          <w:rPr>
            <w:rStyle w:val="Hyperlink"/>
            <w:rFonts w:ascii="David" w:hAnsi="David" w:cs="David"/>
            <w:color w:val="0000FF"/>
            <w:szCs w:val="24"/>
            <w:u w:val="single"/>
            <w:rtl w:val="true"/>
          </w:rPr>
          <w:t>בעניין עריכה ושינויים במסמכי פסיקה</w:t>
        </w:r>
        <w:r>
          <w:rPr>
            <w:rStyle w:val="Hyperlink"/>
            <w:rFonts w:cs="David" w:ascii="David" w:hAnsi="David"/>
            <w:color w:val="0000FF"/>
            <w:szCs w:val="24"/>
            <w:u w:val="single"/>
            <w:rtl w:val="true"/>
          </w:rPr>
          <w:t xml:space="preserve">, </w:t>
        </w:r>
        <w:r>
          <w:rPr>
            <w:rStyle w:val="Hyperlink"/>
            <w:rFonts w:ascii="David" w:hAnsi="David" w:cs="David"/>
            <w:color w:val="0000FF"/>
            <w:szCs w:val="24"/>
            <w:u w:val="single"/>
            <w:rtl w:val="true"/>
          </w:rPr>
          <w:t>חקיקה ועוד באתר נבו – הקש כאן</w:t>
        </w:r>
      </w:hyperlink>
    </w:p>
    <w:p>
      <w:pPr>
        <w:pStyle w:val="Ruller43"/>
        <w:suppressLineNumbers/>
        <w:tabs>
          <w:tab w:val="clear" w:pos="800"/>
        </w:tabs>
        <w:spacing w:before="240" w:after="240"/>
        <w:ind w:end="0"/>
        <w:jc w:val="center"/>
        <w:rPr>
          <w:rFonts w:ascii="David" w:hAnsi="David" w:cs="David"/>
          <w:color w:val="0000FF"/>
          <w:szCs w:val="24"/>
          <w:u w:val="single"/>
        </w:rPr>
      </w:pPr>
      <w:r>
        <w:rPr>
          <w:rFonts w:cs="David" w:ascii="David" w:hAnsi="David"/>
          <w:color w:val="0000FF"/>
          <w:szCs w:val="24"/>
          <w:u w:val="single"/>
          <w:rtl w:val="true"/>
        </w:rPr>
      </w:r>
    </w:p>
    <w:sectPr>
      <w:headerReference w:type="default" r:id="rId31"/>
      <w:headerReference w:type="first" r:id="rId32"/>
      <w:footerReference w:type="default" r:id="rId33"/>
      <w:footerReference w:type="first" r:id="rId34"/>
      <w:type w:val="nextPage"/>
      <w:pgSz w:w="11906" w:h="16838"/>
      <w:pgMar w:left="1797" w:right="1797" w:gutter="0" w:header="720" w:top="1701" w:footer="510" w:bottom="1440"/>
      <w:pgNumType w:fmt="decimal"/>
      <w:formProt w:val="false"/>
      <w:textDirection w:val="lrTb"/>
      <w:bidi/>
      <w:rtlGutter/>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Miriam">
    <w:charset w:val="00" w:characterSet="windows-1252"/>
    <w:family w:val="swiss"/>
    <w:pitch w:val="variable"/>
  </w:font>
  <w:font w:name="Cambria">
    <w:charset w:val="00" w:characterSet="windows-1252"/>
    <w:family w:val="roman"/>
    <w:pitch w:val="variable"/>
  </w:font>
  <w:font w:name="David">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libri">
    <w:charset w:val="00" w:characterSet="windows-1252"/>
    <w:family w:val="swiss"/>
    <w:pitch w:val="variable"/>
  </w:font>
  <w:font w:name="Century">
    <w:charset w:val="00" w:characterSet="windows-1252"/>
    <w:family w:val="roman"/>
    <w:pitch w:val="variable"/>
  </w:font>
  <w:font w:name="Tahoma">
    <w:charset w:val="00" w:characterSet="windows-1252"/>
    <w:family w:val="swiss"/>
    <w:pitch w:val="variable"/>
  </w:font>
  <w:font w:name="Garamond">
    <w:charset w:val="00" w:characterSet="windows-1252"/>
    <w:family w:val="roman"/>
    <w:pitch w:val="variable"/>
  </w:font>
  <w:font w:name="Arial TUR">
    <w:charset w:val="00" w:characterSet="windows-1252"/>
    <w:family w:val="swiss"/>
    <w:pitch w:val="variable"/>
  </w:font>
  <w:font w:name="Consolas">
    <w:charset w:val="00" w:characterSet="windows-1252"/>
    <w:family w:val="modern"/>
    <w:pitch w:val="default"/>
  </w:font>
  <w:font w:name="FrankRueh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0"/>
      <w:jc w:val="center"/>
      <w:rPr>
        <w:rFonts w:ascii="FrankRuehl" w:hAnsi="FrankRuehl" w:cs="FrankRuehl"/>
      </w:rPr>
    </w:pPr>
    <w:r>
      <w:rPr>
        <w:rFonts w:cs="FrankRuehl" w:ascii="FrankRuehl" w:hAnsi="FrankRuehl"/>
        <w:rtl w:val="true"/>
      </w:rPr>
      <w:fldChar w:fldCharType="begin"/>
    </w:r>
    <w:r>
      <w:rPr>
        <w:rtl w:val="true"/>
        <w:rFonts w:cs="FrankRuehl" w:ascii="FrankRuehl" w:hAnsi="FrankRuehl"/>
      </w:rPr>
      <w:instrText xml:space="preserve"> PAGE </w:instrText>
    </w:r>
    <w:r>
      <w:rPr>
        <w:rtl w:val="true"/>
        <w:rFonts w:cs="FrankRuehl" w:ascii="FrankRuehl" w:hAnsi="FrankRuehl"/>
      </w:rPr>
      <w:fldChar w:fldCharType="separate"/>
    </w:r>
    <w:r>
      <w:rPr>
        <w:rtl w:val="true"/>
        <w:rFonts w:cs="FrankRuehl" w:ascii="FrankRuehl" w:hAnsi="FrankRuehl"/>
      </w:rPr>
      <w:t>4</w:t>
    </w:r>
    <w:r>
      <w:rPr>
        <w:rtl w:val="true"/>
        <w:rFonts w:cs="FrankRuehl" w:ascii="FrankRuehl" w:hAnsi="FrankRuehl"/>
      </w:rPr>
      <w:fldChar w:fldCharType="end"/>
    </w:r>
  </w:p>
  <w:p>
    <w:pPr>
      <w:pStyle w:val="Footer"/>
      <w:pBdr>
        <w:top w:val="single" w:sz="4" w:space="1" w:color="000000"/>
      </w:pBdr>
      <w:spacing w:before="0" w:after="60"/>
      <w:ind w:end="0"/>
      <w:jc w:val="center"/>
      <w:rPr>
        <w:rFonts w:ascii="FrankRuehl" w:hAnsi="FrankRuehl" w:cs="FrankRuehl"/>
        <w:color w:val="000000"/>
      </w:rPr>
    </w:pPr>
    <w:r>
      <w:rPr>
        <w:rFonts w:cs="FrankRuehl" w:ascii="FrankRuehl" w:hAnsi="FrankRuehl"/>
        <w:color w:val="000000"/>
        <w:rtl w:val="true"/>
      </w:rPr>
      <w:drawing>
        <wp:inline distT="0" distB="0" distL="0" distR="0">
          <wp:extent cx="554990" cy="22542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65" t="-159" r="-65" b="-159"/>
                  <a:stretch>
                    <a:fillRect/>
                  </a:stretch>
                </pic:blipFill>
                <pic:spPr bwMode="auto">
                  <a:xfrm>
                    <a:off x="0" y="0"/>
                    <a:ext cx="554990" cy="225425"/>
                  </a:xfrm>
                  <a:prstGeom prst="rect">
                    <a:avLst/>
                  </a:prstGeom>
                </pic:spPr>
              </pic:pic>
            </a:graphicData>
          </a:graphic>
        </wp:inline>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0"/>
      <w:jc w:val="center"/>
      <w:rPr>
        <w:rFonts w:ascii="FrankRuehl" w:hAnsi="FrankRuehl" w:cs="FrankRuehl"/>
      </w:rPr>
    </w:pPr>
    <w:r>
      <w:rPr>
        <w:rFonts w:cs="FrankRuehl" w:ascii="FrankRuehl" w:hAnsi="FrankRuehl"/>
        <w:rtl w:val="true"/>
      </w:rPr>
      <w:fldChar w:fldCharType="begin"/>
    </w:r>
    <w:r>
      <w:rPr>
        <w:rtl w:val="true"/>
        <w:rFonts w:cs="FrankRuehl" w:ascii="FrankRuehl" w:hAnsi="FrankRuehl"/>
      </w:rPr>
      <w:instrText xml:space="preserve"> PAGE </w:instrText>
    </w:r>
    <w:r>
      <w:rPr>
        <w:rtl w:val="true"/>
        <w:rFonts w:cs="FrankRuehl" w:ascii="FrankRuehl" w:hAnsi="FrankRuehl"/>
      </w:rPr>
      <w:fldChar w:fldCharType="separate"/>
    </w:r>
    <w:r>
      <w:rPr>
        <w:rtl w:val="true"/>
        <w:rFonts w:cs="FrankRuehl" w:ascii="FrankRuehl" w:hAnsi="FrankRuehl"/>
      </w:rPr>
      <w:t>39</w:t>
    </w:r>
    <w:r>
      <w:rPr>
        <w:rtl w:val="true"/>
        <w:rFonts w:cs="FrankRuehl" w:ascii="FrankRuehl" w:hAnsi="FrankRuehl"/>
      </w:rPr>
      <w:fldChar w:fldCharType="end"/>
    </w:r>
  </w:p>
  <w:p>
    <w:pPr>
      <w:pStyle w:val="Footer"/>
      <w:pBdr>
        <w:top w:val="single" w:sz="4" w:space="1" w:color="000000"/>
      </w:pBdr>
      <w:spacing w:before="0" w:after="60"/>
      <w:ind w:end="0"/>
      <w:jc w:val="center"/>
      <w:rPr>
        <w:rFonts w:ascii="FrankRuehl" w:hAnsi="FrankRuehl" w:cs="FrankRuehl"/>
        <w:color w:val="000000"/>
      </w:rPr>
    </w:pPr>
    <w:r>
      <w:rPr>
        <w:rFonts w:cs="FrankRuehl" w:ascii="FrankRuehl" w:hAnsi="FrankRuehl"/>
        <w:color w:val="000000"/>
        <w:rtl w:val="true"/>
      </w:rPr>
      <w:drawing>
        <wp:inline distT="0" distB="0" distL="0" distR="0">
          <wp:extent cx="554990" cy="22542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1"/>
                  <a:srcRect l="-65" t="-159" r="-65" b="-159"/>
                  <a:stretch>
                    <a:fillRect/>
                  </a:stretch>
                </pic:blipFill>
                <pic:spPr bwMode="auto">
                  <a:xfrm>
                    <a:off x="0" y="0"/>
                    <a:ext cx="554990" cy="225425"/>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153"/>
        <w:tab w:val="clear" w:pos="8306"/>
        <w:tab w:val="right" w:pos="8311" w:leader="none"/>
      </w:tabs>
      <w:spacing w:lineRule="auto" w:line="218"/>
      <w:ind w:end="0"/>
      <w:jc w:val="start"/>
      <w:rPr>
        <w:rFonts w:ascii="David" w:hAnsi="David" w:cs="David"/>
        <w:color w:val="000000"/>
        <w:sz w:val="22"/>
        <w:szCs w:val="22"/>
      </w:rPr>
    </w:pPr>
    <w:r>
      <w:rPr>
        <w:rFonts w:ascii="David" w:hAnsi="David"/>
        <w:color w:val="000000"/>
        <w:sz w:val="22"/>
        <w:sz w:val="22"/>
        <w:szCs w:val="22"/>
        <w:rtl w:val="true"/>
      </w:rPr>
      <w:t xml:space="preserve">ערר </w:t>
    </w:r>
    <w:r>
      <w:rPr>
        <w:rFonts w:cs="David" w:ascii="David" w:hAnsi="David"/>
        <w:color w:val="000000"/>
        <w:sz w:val="22"/>
        <w:szCs w:val="22"/>
        <w:rtl w:val="true"/>
      </w:rPr>
      <w:t>(</w:t>
    </w:r>
    <w:r>
      <w:rPr>
        <w:rFonts w:ascii="David" w:hAnsi="David"/>
        <w:color w:val="000000"/>
        <w:sz w:val="22"/>
        <w:sz w:val="22"/>
        <w:szCs w:val="22"/>
        <w:rtl w:val="true"/>
      </w:rPr>
      <w:t>מרכז</w:t>
    </w:r>
    <w:r>
      <w:rPr>
        <w:rFonts w:cs="David" w:ascii="David" w:hAnsi="David"/>
        <w:color w:val="000000"/>
        <w:sz w:val="22"/>
        <w:szCs w:val="22"/>
        <w:rtl w:val="true"/>
      </w:rPr>
      <w:t xml:space="preserve">) </w:t>
    </w:r>
    <w:r>
      <w:rPr>
        <w:rFonts w:cs="David" w:ascii="David" w:hAnsi="David"/>
        <w:color w:val="000000"/>
        <w:sz w:val="22"/>
        <w:szCs w:val="22"/>
      </w:rPr>
      <w:t>8059-09-25</w:t>
    </w:r>
    <w:r>
      <w:rPr>
        <w:rFonts w:cs="David" w:ascii="David" w:hAnsi="David"/>
        <w:color w:val="000000"/>
        <w:sz w:val="22"/>
        <w:szCs w:val="22"/>
        <w:rtl w:val="true"/>
      </w:rPr>
      <w:t>;</w:t>
    </w:r>
    <w:r>
      <w:rPr>
        <w:rFonts w:cs="David" w:ascii="David" w:hAnsi="David"/>
        <w:color w:val="000000"/>
        <w:sz w:val="22"/>
        <w:szCs w:val="22"/>
      </w:rPr>
      <w:t>8069-09-25</w:t>
    </w:r>
    <w:r>
      <w:rPr>
        <w:rFonts w:cs="David" w:ascii="David" w:hAnsi="David"/>
        <w:color w:val="000000"/>
        <w:sz w:val="22"/>
        <w:szCs w:val="22"/>
        <w:rtl w:val="true"/>
      </w:rPr>
      <w:tab/>
      <w:t xml:space="preserve"> </w:t>
    </w:r>
    <w:r>
      <w:rPr>
        <w:rFonts w:ascii="David" w:hAnsi="David"/>
        <w:color w:val="000000"/>
        <w:sz w:val="22"/>
        <w:sz w:val="22"/>
        <w:szCs w:val="22"/>
        <w:rtl w:val="true"/>
      </w:rPr>
      <w:t>י</w:t>
    </w:r>
    <w:r>
      <w:rPr>
        <w:rFonts w:cs="David" w:ascii="David" w:hAnsi="David"/>
        <w:color w:val="000000"/>
        <w:sz w:val="22"/>
        <w:szCs w:val="22"/>
        <w:rtl w:val="true"/>
      </w:rPr>
      <w:t>.</w:t>
    </w:r>
    <w:r>
      <w:rPr>
        <w:rFonts w:ascii="David" w:hAnsi="David"/>
        <w:color w:val="000000"/>
        <w:sz w:val="22"/>
        <w:sz w:val="22"/>
        <w:szCs w:val="22"/>
        <w:rtl w:val="true"/>
      </w:rPr>
      <w:t>ח</w:t>
    </w:r>
    <w:r>
      <w:rPr>
        <w:rFonts w:cs="David" w:ascii="David" w:hAnsi="David"/>
        <w:color w:val="000000"/>
        <w:sz w:val="22"/>
        <w:szCs w:val="22"/>
        <w:rtl w:val="true"/>
      </w:rPr>
      <w:t xml:space="preserve">. </w:t>
    </w:r>
    <w:r>
      <w:rPr>
        <w:rFonts w:ascii="David" w:hAnsi="David"/>
        <w:color w:val="000000"/>
        <w:sz w:val="22"/>
        <w:sz w:val="22"/>
        <w:szCs w:val="22"/>
        <w:rtl w:val="true"/>
      </w:rPr>
      <w:t>דמרי בניה ופיתוח בע״מ ואח׳ נ׳ הוועדה המקומית לתכנון ובנייה נתניה</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153"/>
        <w:tab w:val="clear" w:pos="8306"/>
        <w:tab w:val="right" w:pos="8311" w:leader="none"/>
      </w:tabs>
      <w:spacing w:lineRule="auto" w:line="218"/>
      <w:ind w:end="0"/>
      <w:jc w:val="start"/>
      <w:rPr>
        <w:rFonts w:ascii="David" w:hAnsi="David" w:cs="David"/>
        <w:color w:val="000000"/>
        <w:sz w:val="22"/>
        <w:szCs w:val="22"/>
      </w:rPr>
    </w:pPr>
    <w:r>
      <w:rPr>
        <w:rFonts w:ascii="David" w:hAnsi="David"/>
        <w:color w:val="000000"/>
        <w:sz w:val="22"/>
        <w:sz w:val="22"/>
        <w:szCs w:val="22"/>
        <w:rtl w:val="true"/>
      </w:rPr>
      <w:t xml:space="preserve">ערר </w:t>
    </w:r>
    <w:r>
      <w:rPr>
        <w:rFonts w:cs="David" w:ascii="David" w:hAnsi="David"/>
        <w:color w:val="000000"/>
        <w:sz w:val="22"/>
        <w:szCs w:val="22"/>
        <w:rtl w:val="true"/>
      </w:rPr>
      <w:t>(</w:t>
    </w:r>
    <w:r>
      <w:rPr>
        <w:rFonts w:ascii="David" w:hAnsi="David"/>
        <w:color w:val="000000"/>
        <w:sz w:val="22"/>
        <w:sz w:val="22"/>
        <w:szCs w:val="22"/>
        <w:rtl w:val="true"/>
      </w:rPr>
      <w:t>מרכז</w:t>
    </w:r>
    <w:r>
      <w:rPr>
        <w:rFonts w:cs="David" w:ascii="David" w:hAnsi="David"/>
        <w:color w:val="000000"/>
        <w:sz w:val="22"/>
        <w:szCs w:val="22"/>
        <w:rtl w:val="true"/>
      </w:rPr>
      <w:t xml:space="preserve">) </w:t>
    </w:r>
    <w:r>
      <w:rPr>
        <w:rFonts w:cs="David" w:ascii="David" w:hAnsi="David"/>
        <w:color w:val="000000"/>
        <w:sz w:val="22"/>
        <w:szCs w:val="22"/>
      </w:rPr>
      <w:t>8059-09-25</w:t>
    </w:r>
    <w:r>
      <w:rPr>
        <w:rFonts w:cs="David" w:ascii="David" w:hAnsi="David"/>
        <w:color w:val="000000"/>
        <w:sz w:val="22"/>
        <w:szCs w:val="22"/>
        <w:rtl w:val="true"/>
      </w:rPr>
      <w:t>;</w:t>
    </w:r>
    <w:r>
      <w:rPr>
        <w:rFonts w:cs="David" w:ascii="David" w:hAnsi="David"/>
        <w:color w:val="000000"/>
        <w:sz w:val="22"/>
        <w:szCs w:val="22"/>
      </w:rPr>
      <w:t>8069-09-25</w:t>
    </w:r>
    <w:r>
      <w:rPr>
        <w:rFonts w:cs="David" w:ascii="David" w:hAnsi="David"/>
        <w:color w:val="000000"/>
        <w:sz w:val="22"/>
        <w:szCs w:val="22"/>
        <w:rtl w:val="true"/>
      </w:rPr>
      <w:tab/>
      <w:t xml:space="preserve"> </w:t>
    </w:r>
    <w:r>
      <w:rPr>
        <w:rFonts w:ascii="David" w:hAnsi="David"/>
        <w:color w:val="000000"/>
        <w:sz w:val="22"/>
        <w:sz w:val="22"/>
        <w:szCs w:val="22"/>
        <w:rtl w:val="true"/>
      </w:rPr>
      <w:t>י</w:t>
    </w:r>
    <w:r>
      <w:rPr>
        <w:rFonts w:cs="David" w:ascii="David" w:hAnsi="David"/>
        <w:color w:val="000000"/>
        <w:sz w:val="22"/>
        <w:szCs w:val="22"/>
        <w:rtl w:val="true"/>
      </w:rPr>
      <w:t>.</w:t>
    </w:r>
    <w:r>
      <w:rPr>
        <w:rFonts w:ascii="David" w:hAnsi="David"/>
        <w:color w:val="000000"/>
        <w:sz w:val="22"/>
        <w:sz w:val="22"/>
        <w:szCs w:val="22"/>
        <w:rtl w:val="true"/>
      </w:rPr>
      <w:t>ח</w:t>
    </w:r>
    <w:r>
      <w:rPr>
        <w:rFonts w:cs="David" w:ascii="David" w:hAnsi="David"/>
        <w:color w:val="000000"/>
        <w:sz w:val="22"/>
        <w:szCs w:val="22"/>
        <w:rtl w:val="true"/>
      </w:rPr>
      <w:t xml:space="preserve">. </w:t>
    </w:r>
    <w:r>
      <w:rPr>
        <w:rFonts w:ascii="David" w:hAnsi="David"/>
        <w:color w:val="000000"/>
        <w:sz w:val="22"/>
        <w:sz w:val="22"/>
        <w:szCs w:val="22"/>
        <w:rtl w:val="true"/>
      </w:rPr>
      <w:t>דמרי בניה ופיתוח בע״מ ואח׳ נ׳ הוועדה המקומית לתכנון ובנייה נתניה</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rPr>
        <w:rFonts w:cs="Times New Roman"/>
      </w:rPr>
    </w:lvl>
  </w:abstractNum>
  <w:abstractNum w:abstractNumId="3">
    <w:lvl w:ilvl="0">
      <w:start w:val="1"/>
      <w:numFmt w:val="decimal"/>
      <w:lvlText w:val="%1."/>
      <w:lvlJc w:val="start"/>
      <w:pPr>
        <w:tabs>
          <w:tab w:val="num" w:pos="1209"/>
        </w:tabs>
        <w:ind w:start="1209" w:hanging="360"/>
      </w:pPr>
      <w:rPr>
        <w:rFonts w:cs="Times New Roman"/>
      </w:rPr>
    </w:lvl>
  </w:abstractNum>
  <w:abstractNum w:abstractNumId="4">
    <w:lvl w:ilvl="0">
      <w:start w:val="1"/>
      <w:numFmt w:val="decimal"/>
      <w:lvlText w:val="%1."/>
      <w:lvlJc w:val="start"/>
      <w:pPr>
        <w:tabs>
          <w:tab w:val="num" w:pos="926"/>
        </w:tabs>
        <w:ind w:start="926" w:hanging="360"/>
      </w:pPr>
      <w:rPr>
        <w:rFonts w:cs="Times New Roman"/>
      </w:rPr>
    </w:lvl>
  </w:abstractNum>
  <w:abstractNum w:abstractNumId="5">
    <w:lvl w:ilvl="0">
      <w:start w:val="1"/>
      <w:numFmt w:val="decimal"/>
      <w:lvlText w:val="%1."/>
      <w:lvlJc w:val="start"/>
      <w:pPr>
        <w:tabs>
          <w:tab w:val="num" w:pos="643"/>
        </w:tabs>
        <w:ind w:start="643" w:hanging="360"/>
      </w:pPr>
      <w:rPr>
        <w:rFonts w:cs="Times New Roman"/>
      </w:r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decimal"/>
      <w:lvlText w:val="%1."/>
      <w:lvlJc w:val="start"/>
      <w:pPr>
        <w:tabs>
          <w:tab w:val="num" w:pos="360"/>
        </w:tabs>
        <w:ind w:start="360" w:hanging="360"/>
      </w:pPr>
      <w:rPr>
        <w:rFonts w:cs="Times New Roman"/>
      </w:rPr>
    </w:lvl>
  </w:abstractNum>
  <w:abstractNum w:abstractNumId="11">
    <w:lvl w:ilvl="0">
      <w:start w:val="1"/>
      <w:numFmt w:val="bullet"/>
      <w:lvlText w:val=""/>
      <w:lvlJc w:val="start"/>
      <w:pPr>
        <w:tabs>
          <w:tab w:val="num" w:pos="360"/>
        </w:tabs>
        <w:ind w:start="360" w:hanging="360"/>
      </w:pPr>
      <w:rPr>
        <w:rFonts w:ascii="Symbol" w:hAnsi="Symbol" w:cs="Symbol" w:hint="default"/>
      </w:rPr>
    </w:lvl>
  </w:abstractNum>
  <w:abstractNum w:abstractNumId="12">
    <w:lvl w:ilvl="0">
      <w:start w:val="1"/>
      <w:numFmt w:val="decimal"/>
      <w:lvlText w:val="%1."/>
      <w:lvlJc w:val="start"/>
      <w:pPr>
        <w:tabs>
          <w:tab w:val="num" w:pos="907"/>
        </w:tabs>
        <w:ind w:start="0" w:hanging="0"/>
      </w:pPr>
      <w:rPr>
        <w:rFonts w:cs="Times New Roman"/>
        <w:color w:val="000000"/>
      </w:rPr>
    </w:lvl>
  </w:abstractNum>
  <w:abstractNum w:abstractNumId="13">
    <w:lvl w:ilvl="0">
      <w:start w:val="1"/>
      <w:numFmt w:val="decimal"/>
      <w:lvlText w:val="%1."/>
      <w:lvlJc w:val="start"/>
      <w:pPr>
        <w:tabs>
          <w:tab w:val="num" w:pos="0"/>
        </w:tabs>
        <w:ind w:start="360" w:hanging="360"/>
      </w:pPr>
      <w:rPr>
        <w:sz w:val="24"/>
        <w:szCs w:val="24"/>
        <w:rFonts w:ascii="David" w:hAnsi="David" w:cs="David"/>
      </w:rPr>
    </w:lvl>
    <w:lvl w:ilvl="1">
      <w:start w:val="1"/>
      <w:numFmt w:val="decimal"/>
      <w:lvlText w:val="%1.%2."/>
      <w:lvlJc w:val="start"/>
      <w:pPr>
        <w:tabs>
          <w:tab w:val="num" w:pos="0"/>
        </w:tabs>
        <w:ind w:start="792" w:hanging="432"/>
      </w:pPr>
      <w:rPr>
        <w:rFonts w:cs="Times New Roman"/>
      </w:rPr>
    </w:lvl>
    <w:lvl w:ilvl="2">
      <w:start w:val="1"/>
      <w:numFmt w:val="decimal"/>
      <w:lvlText w:val="%1.%2.%3."/>
      <w:lvlJc w:val="start"/>
      <w:pPr>
        <w:tabs>
          <w:tab w:val="num" w:pos="0"/>
        </w:tabs>
        <w:ind w:start="1224" w:hanging="504"/>
      </w:pPr>
      <w:rPr>
        <w:rFonts w:cs="Times New Roman"/>
      </w:rPr>
    </w:lvl>
    <w:lvl w:ilvl="3">
      <w:start w:val="1"/>
      <w:numFmt w:val="decimal"/>
      <w:lvlText w:val="%1.%2.%3.%4."/>
      <w:lvlJc w:val="start"/>
      <w:pPr>
        <w:tabs>
          <w:tab w:val="num" w:pos="0"/>
        </w:tabs>
        <w:ind w:start="1728" w:hanging="648"/>
      </w:pPr>
      <w:rPr>
        <w:rFonts w:cs="Times New Roman"/>
      </w:rPr>
    </w:lvl>
    <w:lvl w:ilvl="4">
      <w:start w:val="1"/>
      <w:numFmt w:val="decimal"/>
      <w:lvlText w:val="%1.%2.%3.%4.%5."/>
      <w:lvlJc w:val="start"/>
      <w:pPr>
        <w:tabs>
          <w:tab w:val="num" w:pos="0"/>
        </w:tabs>
        <w:ind w:start="2232" w:hanging="792"/>
      </w:pPr>
      <w:rPr>
        <w:rFonts w:cs="Times New Roman"/>
      </w:rPr>
    </w:lvl>
    <w:lvl w:ilvl="5">
      <w:start w:val="1"/>
      <w:numFmt w:val="decimal"/>
      <w:lvlText w:val="%1.%2.%3.%4.%5.%6."/>
      <w:lvlJc w:val="start"/>
      <w:pPr>
        <w:tabs>
          <w:tab w:val="num" w:pos="0"/>
        </w:tabs>
        <w:ind w:start="2736" w:hanging="936"/>
      </w:pPr>
      <w:rPr>
        <w:rFonts w:cs="Times New Roman"/>
      </w:rPr>
    </w:lvl>
    <w:lvl w:ilvl="6">
      <w:start w:val="1"/>
      <w:numFmt w:val="decimal"/>
      <w:lvlText w:val="%1.%2.%3.%4.%5.%6.%7."/>
      <w:lvlJc w:val="start"/>
      <w:pPr>
        <w:tabs>
          <w:tab w:val="num" w:pos="0"/>
        </w:tabs>
        <w:ind w:start="3240" w:hanging="1080"/>
      </w:pPr>
      <w:rPr>
        <w:rFonts w:cs="Times New Roman"/>
      </w:rPr>
    </w:lvl>
    <w:lvl w:ilvl="7">
      <w:start w:val="1"/>
      <w:numFmt w:val="decimal"/>
      <w:lvlText w:val="%1.%2.%3.%4.%5.%6.%7.%8."/>
      <w:lvlJc w:val="start"/>
      <w:pPr>
        <w:tabs>
          <w:tab w:val="num" w:pos="0"/>
        </w:tabs>
        <w:ind w:start="3744" w:hanging="1224"/>
      </w:pPr>
      <w:rPr>
        <w:rFonts w:cs="Times New Roman"/>
      </w:rPr>
    </w:lvl>
    <w:lvl w:ilvl="8">
      <w:start w:val="1"/>
      <w:numFmt w:val="decimal"/>
      <w:lvlText w:val="%1.%2.%3.%4.%5.%6.%7.%8.%9."/>
      <w:lvlJc w:val="start"/>
      <w:pPr>
        <w:tabs>
          <w:tab w:val="num" w:pos="0"/>
        </w:tabs>
        <w:ind w:start="4320" w:hanging="1440"/>
      </w:pPr>
      <w:rPr>
        <w:rFonts w:cs="Times New Roman"/>
      </w:rPr>
    </w:lvl>
  </w:abstractNum>
  <w:abstractNum w:abstractNumId="14">
    <w:lvl w:ilvl="0">
      <w:start w:val="1"/>
      <w:numFmt w:val="decimal"/>
      <w:lvlText w:val="%1."/>
      <w:lvlJc w:val="end"/>
      <w:pPr>
        <w:tabs>
          <w:tab w:val="num" w:pos="454"/>
        </w:tabs>
        <w:ind w:start="510" w:hanging="510"/>
      </w:pPr>
      <w:rPr>
        <w:rFonts w:cs="Times New Roman"/>
      </w:rPr>
    </w:lvl>
    <w:lvl w:ilvl="1">
      <w:start w:val="1"/>
      <w:numFmt w:val="decimal"/>
      <w:lvlText w:val="%1.%2."/>
      <w:lvlJc w:val="start"/>
      <w:pPr>
        <w:tabs>
          <w:tab w:val="num" w:pos="0"/>
        </w:tabs>
        <w:ind w:start="908" w:hanging="454"/>
      </w:pPr>
      <w:rPr>
        <w:rFonts w:cs="Times New Roman"/>
      </w:rPr>
    </w:lvl>
    <w:lvl w:ilvl="2">
      <w:start w:val="1"/>
      <w:numFmt w:val="decimal"/>
      <w:lvlText w:val="%1.%2.%3."/>
      <w:lvlJc w:val="start"/>
      <w:pPr>
        <w:tabs>
          <w:tab w:val="num" w:pos="0"/>
        </w:tabs>
        <w:ind w:start="1362" w:hanging="454"/>
      </w:pPr>
      <w:rPr>
        <w:rFonts w:cs="Times New Roman"/>
      </w:rPr>
    </w:lvl>
    <w:lvl w:ilvl="3">
      <w:start w:val="1"/>
      <w:numFmt w:val="decimal"/>
      <w:lvlText w:val="%1.%2.%3.%4."/>
      <w:lvlJc w:val="start"/>
      <w:pPr>
        <w:tabs>
          <w:tab w:val="num" w:pos="0"/>
        </w:tabs>
        <w:ind w:start="1816" w:hanging="454"/>
      </w:pPr>
      <w:rPr>
        <w:rFonts w:cs="Times New Roman"/>
      </w:rPr>
    </w:lvl>
    <w:lvl w:ilvl="4">
      <w:start w:val="1"/>
      <w:numFmt w:val="decimal"/>
      <w:lvlText w:val="%1.%2.%3.%4.%5."/>
      <w:lvlJc w:val="start"/>
      <w:pPr>
        <w:tabs>
          <w:tab w:val="num" w:pos="0"/>
        </w:tabs>
        <w:ind w:start="2270" w:hanging="454"/>
      </w:pPr>
      <w:rPr>
        <w:rFonts w:cs="Times New Roman"/>
      </w:rPr>
    </w:lvl>
    <w:lvl w:ilvl="5">
      <w:start w:val="1"/>
      <w:numFmt w:val="decimal"/>
      <w:lvlText w:val="%1.%2.%3.%4.%5.%6."/>
      <w:lvlJc w:val="start"/>
      <w:pPr>
        <w:tabs>
          <w:tab w:val="num" w:pos="0"/>
        </w:tabs>
        <w:ind w:start="2724" w:hanging="454"/>
      </w:pPr>
      <w:rPr>
        <w:rFonts w:cs="Times New Roman"/>
      </w:rPr>
    </w:lvl>
    <w:lvl w:ilvl="6">
      <w:start w:val="1"/>
      <w:numFmt w:val="decimal"/>
      <w:lvlText w:val="%1.%2.%3.%4.%5.%6.%7."/>
      <w:lvlJc w:val="start"/>
      <w:pPr>
        <w:tabs>
          <w:tab w:val="num" w:pos="0"/>
        </w:tabs>
        <w:ind w:start="3178" w:hanging="454"/>
      </w:pPr>
      <w:rPr>
        <w:rFonts w:cs="Times New Roman"/>
      </w:rPr>
    </w:lvl>
    <w:lvl w:ilvl="7">
      <w:start w:val="1"/>
      <w:numFmt w:val="decimal"/>
      <w:lvlText w:val="%1.%2.%3.%4.%5.%6.%7.%8."/>
      <w:lvlJc w:val="start"/>
      <w:pPr>
        <w:tabs>
          <w:tab w:val="num" w:pos="0"/>
        </w:tabs>
        <w:ind w:start="3632" w:hanging="454"/>
      </w:pPr>
      <w:rPr>
        <w:rFonts w:cs="Times New Roman"/>
      </w:rPr>
    </w:lvl>
    <w:lvl w:ilvl="8">
      <w:start w:val="1"/>
      <w:numFmt w:val="decimal"/>
      <w:lvlText w:val="%1.%2.%3.%4.%5.%6.%7.%8.%9."/>
      <w:lvlJc w:val="start"/>
      <w:pPr>
        <w:tabs>
          <w:tab w:val="num" w:pos="0"/>
        </w:tabs>
        <w:ind w:start="4086" w:hanging="454"/>
      </w:pPr>
      <w:rPr>
        <w:rFonts w:cs="Times New Roman"/>
      </w:rPr>
    </w:lvl>
  </w:abstractNum>
  <w:abstractNum w:abstractNumId="15">
    <w:lvl w:ilvl="0">
      <w:start w:val="1"/>
      <w:numFmt w:val="decimal"/>
      <w:lvlText w:val="%1."/>
      <w:lvlJc w:val="end"/>
      <w:pPr>
        <w:tabs>
          <w:tab w:val="num" w:pos="0"/>
        </w:tabs>
        <w:ind w:start="1230" w:hanging="360"/>
      </w:pPr>
      <w:rPr>
        <w:rFonts w:cs="Times New Roman"/>
      </w:rPr>
    </w:lvl>
  </w:abstractNum>
  <w:abstractNum w:abstractNumId="16">
    <w:lvl w:ilvl="0">
      <w:start w:val="1"/>
      <w:numFmt w:val="hebrew1"/>
      <w:lvlText w:val="%1."/>
      <w:lvlJc w:val="start"/>
      <w:pPr>
        <w:tabs>
          <w:tab w:val="num" w:pos="907"/>
        </w:tabs>
        <w:ind w:start="0" w:hanging="0"/>
      </w:pPr>
      <w:rPr>
        <w:rFonts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20"/>
  <w:autoHyphenation w:val="true"/>
  <w:compat>
    <w:doNotExpandShiftReturn/>
    <w:compatSetting w:name="compatibilityMode" w:uri="http://schemas.microsoft.com/office/word" w:val="11"/>
  </w:compat>
  <w:docVars>
    <w:docVar w:name="MyInfo" w:val="This document was extracted from Nevo's site"/>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1"/>
      <w:ind w:hanging="0" w:start="0" w:end="0"/>
      <w:jc w:val="start"/>
    </w:pPr>
    <w:rPr>
      <w:rFonts w:ascii="Times New Roman" w:hAnsi="Times New Roman" w:eastAsia="Times New Roman" w:cs="David"/>
      <w:color w:val="auto"/>
      <w:sz w:val="24"/>
      <w:szCs w:val="24"/>
      <w:lang w:val="en-US" w:bidi="he-IL" w:eastAsia="zh-CN"/>
    </w:rPr>
  </w:style>
  <w:style w:type="paragraph" w:styleId="Heading1">
    <w:name w:val="Heading 1"/>
    <w:basedOn w:val="Normal"/>
    <w:next w:val="Normal"/>
    <w:qFormat/>
    <w:pPr>
      <w:keepNext w:val="true"/>
      <w:keepLines/>
      <w:numPr>
        <w:ilvl w:val="0"/>
        <w:numId w:val="1"/>
      </w:numPr>
      <w:spacing w:before="480" w:after="240"/>
      <w:ind w:hanging="0" w:start="0" w:end="0"/>
      <w:jc w:val="start"/>
      <w:outlineLvl w:val="0"/>
    </w:pPr>
    <w:rPr>
      <w:rFonts w:ascii="Miriam" w:hAnsi="Miriam" w:cs="Miriam"/>
      <w:sz w:val="28"/>
      <w:szCs w:val="28"/>
    </w:rPr>
  </w:style>
  <w:style w:type="paragraph" w:styleId="Heading2">
    <w:name w:val="Heading 2"/>
    <w:basedOn w:val="Normal"/>
    <w:next w:val="Normal"/>
    <w:qFormat/>
    <w:pPr>
      <w:keepNext w:val="true"/>
      <w:keepLines/>
      <w:numPr>
        <w:ilvl w:val="1"/>
        <w:numId w:val="1"/>
      </w:numPr>
      <w:overflowPunct w:val="false"/>
      <w:autoSpaceDE w:val="false"/>
      <w:spacing w:lineRule="auto" w:line="480" w:before="280" w:after="240"/>
      <w:ind w:hanging="0" w:start="0" w:end="0"/>
      <w:jc w:val="both"/>
      <w:textAlignment w:val="baseline"/>
      <w:outlineLvl w:val="1"/>
    </w:pPr>
    <w:rPr>
      <w:rFonts w:ascii="Cambria" w:hAnsi="Cambria" w:cs="Miriam"/>
      <w:spacing w:val="10"/>
      <w:sz w:val="26"/>
      <w:szCs w:val="28"/>
    </w:rPr>
  </w:style>
  <w:style w:type="paragraph" w:styleId="Heading3">
    <w:name w:val="Heading 3"/>
    <w:basedOn w:val="Normal"/>
    <w:next w:val="Normal"/>
    <w:qFormat/>
    <w:pPr>
      <w:keepNext w:val="true"/>
      <w:keepLines/>
      <w:numPr>
        <w:ilvl w:val="2"/>
        <w:numId w:val="1"/>
      </w:numPr>
      <w:spacing w:before="280" w:after="240"/>
      <w:ind w:hanging="0" w:start="0" w:end="0"/>
      <w:jc w:val="start"/>
      <w:outlineLvl w:val="2"/>
    </w:pPr>
    <w:rPr>
      <w:rFonts w:ascii="Cambria" w:hAnsi="Cambria" w:cs="Miriam"/>
      <w:szCs w:val="28"/>
    </w:rPr>
  </w:style>
  <w:style w:type="paragraph" w:styleId="Heading4">
    <w:name w:val="Heading 4"/>
    <w:basedOn w:val="Normal"/>
    <w:next w:val="Normal"/>
    <w:qFormat/>
    <w:pPr>
      <w:keepNext w:val="true"/>
      <w:numPr>
        <w:ilvl w:val="3"/>
        <w:numId w:val="1"/>
      </w:numPr>
      <w:ind w:firstLine="720" w:start="5760" w:end="0"/>
      <w:jc w:val="start"/>
      <w:outlineLvl w:val="3"/>
    </w:pPr>
    <w:rPr>
      <w:rFonts w:cs="Narkisim"/>
      <w:b/>
      <w:bCs/>
    </w:rPr>
  </w:style>
  <w:style w:type="paragraph" w:styleId="Heading5">
    <w:name w:val="Heading 5"/>
    <w:basedOn w:val="Normal"/>
    <w:next w:val="Normal"/>
    <w:qFormat/>
    <w:pPr>
      <w:keepNext w:val="true"/>
      <w:keepLines/>
      <w:numPr>
        <w:ilvl w:val="4"/>
        <w:numId w:val="1"/>
      </w:numPr>
      <w:spacing w:before="40" w:after="0"/>
      <w:ind w:hanging="0" w:start="0" w:end="0"/>
      <w:jc w:val="start"/>
      <w:outlineLvl w:val="4"/>
    </w:pPr>
    <w:rPr>
      <w:rFonts w:ascii="Cambria" w:hAnsi="Cambria" w:cs="Times New Roman"/>
      <w:color w:val="365F91"/>
    </w:rPr>
  </w:style>
  <w:style w:type="paragraph" w:styleId="Heading6">
    <w:name w:val="Heading 6"/>
    <w:basedOn w:val="Normal"/>
    <w:next w:val="Normal"/>
    <w:qFormat/>
    <w:pPr>
      <w:keepNext w:val="true"/>
      <w:keepLines/>
      <w:numPr>
        <w:ilvl w:val="5"/>
        <w:numId w:val="1"/>
      </w:numPr>
      <w:spacing w:before="40" w:after="0"/>
      <w:ind w:hanging="0" w:start="0" w:end="0"/>
      <w:jc w:val="start"/>
      <w:outlineLvl w:val="5"/>
    </w:pPr>
    <w:rPr>
      <w:rFonts w:ascii="Cambria" w:hAnsi="Cambria" w:cs="Times New Roman"/>
      <w:color w:val="243F60"/>
    </w:rPr>
  </w:style>
  <w:style w:type="paragraph" w:styleId="Heading7">
    <w:name w:val="Heading 7"/>
    <w:basedOn w:val="Normal"/>
    <w:next w:val="Normal"/>
    <w:qFormat/>
    <w:pPr>
      <w:keepNext w:val="true"/>
      <w:keepLines/>
      <w:numPr>
        <w:ilvl w:val="6"/>
        <w:numId w:val="1"/>
      </w:numPr>
      <w:spacing w:before="40" w:after="0"/>
      <w:ind w:hanging="0" w:start="0" w:end="0"/>
      <w:jc w:val="start"/>
      <w:outlineLvl w:val="6"/>
    </w:pPr>
    <w:rPr>
      <w:rFonts w:ascii="Cambria" w:hAnsi="Cambria" w:cs="Times New Roman"/>
      <w:i/>
      <w:iCs/>
      <w:color w:val="243F60"/>
    </w:rPr>
  </w:style>
  <w:style w:type="paragraph" w:styleId="Heading8">
    <w:name w:val="Heading 8"/>
    <w:basedOn w:val="Normal"/>
    <w:next w:val="Normal"/>
    <w:qFormat/>
    <w:pPr>
      <w:keepNext w:val="true"/>
      <w:keepLines/>
      <w:numPr>
        <w:ilvl w:val="7"/>
        <w:numId w:val="1"/>
      </w:numPr>
      <w:spacing w:before="40" w:after="0"/>
      <w:ind w:hanging="0" w:start="0" w:end="0"/>
      <w:jc w:val="start"/>
      <w:outlineLvl w:val="7"/>
    </w:pPr>
    <w:rPr>
      <w:rFonts w:ascii="Cambria" w:hAnsi="Cambria" w:cs="Times New Roman"/>
      <w:color w:val="272727"/>
      <w:sz w:val="21"/>
      <w:szCs w:val="21"/>
    </w:rPr>
  </w:style>
  <w:style w:type="paragraph" w:styleId="Heading9">
    <w:name w:val="Heading 9"/>
    <w:basedOn w:val="Normal"/>
    <w:next w:val="Normal"/>
    <w:qFormat/>
    <w:pPr>
      <w:keepNext w:val="true"/>
      <w:keepLines/>
      <w:numPr>
        <w:ilvl w:val="8"/>
        <w:numId w:val="1"/>
      </w:numPr>
      <w:spacing w:before="40" w:after="0"/>
      <w:ind w:hanging="0" w:start="0" w:end="0"/>
      <w:jc w:val="start"/>
      <w:outlineLvl w:val="8"/>
    </w:pPr>
    <w:rPr>
      <w:rFonts w:ascii="Cambria" w:hAnsi="Cambria" w:cs="Times New Roman"/>
      <w:i/>
      <w:iCs/>
      <w:color w:val="272727"/>
      <w:sz w:val="21"/>
      <w:szCs w:val="21"/>
    </w:rPr>
  </w:style>
  <w:style w:type="character" w:styleId="WW8Num1z0">
    <w:name w:val="WW8Num1z0"/>
    <w:qFormat/>
    <w:rPr>
      <w:rFonts w:cs="Times New Roman"/>
    </w:rPr>
  </w:style>
  <w:style w:type="character" w:styleId="WW8Num2z0">
    <w:name w:val="WW8Num2z0"/>
    <w:qFormat/>
    <w:rPr>
      <w:rFonts w:cs="Times New Roman"/>
    </w:rPr>
  </w:style>
  <w:style w:type="character" w:styleId="WW8Num3z0">
    <w:name w:val="WW8Num3z0"/>
    <w:qFormat/>
    <w:rPr>
      <w:rFonts w:cs="Times New Roman"/>
    </w:rPr>
  </w:style>
  <w:style w:type="character" w:styleId="WW8Num4z0">
    <w:name w:val="WW8Num4z0"/>
    <w:qFormat/>
    <w:rPr>
      <w:rFonts w:cs="Times New Roman"/>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cs="Times New Roman"/>
    </w:rPr>
  </w:style>
  <w:style w:type="character" w:styleId="WW8Num10z0">
    <w:name w:val="WW8Num10z0"/>
    <w:qFormat/>
    <w:rPr>
      <w:rFonts w:ascii="Symbol" w:hAnsi="Symbol" w:cs="Symbol"/>
    </w:rPr>
  </w:style>
  <w:style w:type="character" w:styleId="WW8Num11z0">
    <w:name w:val="WW8Num11z0"/>
    <w:qFormat/>
    <w:rPr>
      <w:rFonts w:cs="Times New Roman"/>
      <w:color w:val="000000"/>
    </w:rPr>
  </w:style>
  <w:style w:type="character" w:styleId="WW8Num11z1">
    <w:name w:val="WW8Num11z1"/>
    <w:qFormat/>
    <w:rPr>
      <w:rFonts w:cs="Times New Roman"/>
    </w:rPr>
  </w:style>
  <w:style w:type="character" w:styleId="WW8Num12z0">
    <w:name w:val="WW8Num12z0"/>
    <w:qFormat/>
    <w:rPr>
      <w:rFonts w:ascii="David" w:hAnsi="David" w:eastAsia="Times New Roman" w:cs="David"/>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rFonts w:cs="Times New Roman"/>
    </w:rPr>
  </w:style>
  <w:style w:type="character" w:styleId="WW8Num14z0">
    <w:name w:val="WW8Num14z0"/>
    <w:qFormat/>
    <w:rPr>
      <w:rFonts w:ascii="David" w:hAnsi="David" w:cs="David"/>
      <w:sz w:val="24"/>
      <w:szCs w:val="24"/>
    </w:rPr>
  </w:style>
  <w:style w:type="character" w:styleId="WW8Num14z1">
    <w:name w:val="WW8Num14z1"/>
    <w:qFormat/>
    <w:rPr>
      <w:rFonts w:cs="Times New Roman"/>
    </w:rPr>
  </w:style>
  <w:style w:type="character" w:styleId="WW8Num15z0">
    <w:name w:val="WW8Num15z0"/>
    <w:qFormat/>
    <w:rPr>
      <w:rFonts w:cs="Times New Roman"/>
    </w:rPr>
  </w:style>
  <w:style w:type="character" w:styleId="WW8Num16z0">
    <w:name w:val="WW8Num16z0"/>
    <w:qFormat/>
    <w:rPr>
      <w:rFonts w:cs="Times New Roman"/>
    </w:rPr>
  </w:style>
  <w:style w:type="character" w:styleId="WW8Num17z0">
    <w:name w:val="WW8Num17z0"/>
    <w:qFormat/>
    <w:rPr>
      <w:rFonts w:cs="Times New Roman"/>
    </w:rPr>
  </w:style>
  <w:style w:type="character" w:styleId="WW8Num18z0">
    <w:name w:val="WW8Num18z0"/>
    <w:qFormat/>
    <w:rPr>
      <w:rFonts w:cs="Times New Roman"/>
    </w:rPr>
  </w:style>
  <w:style w:type="character" w:styleId="WW8Num19z0">
    <w:name w:val="WW8Num19z0"/>
    <w:qFormat/>
    <w:rPr>
      <w:rFonts w:cs="Times New Roman"/>
    </w:rPr>
  </w:style>
  <w:style w:type="character" w:styleId="WW8Num19z1">
    <w:name w:val="WW8Num19z1"/>
    <w:qFormat/>
    <w:rPr>
      <w:rFonts w:cs="Times New Roman"/>
    </w:rPr>
  </w:style>
  <w:style w:type="character" w:styleId="WW8Num20z0">
    <w:name w:val="WW8Num20z0"/>
    <w:qFormat/>
    <w:rPr>
      <w:rFonts w:cs="Times New Roman"/>
    </w:rPr>
  </w:style>
  <w:style w:type="character" w:styleId="WW8Num20z1">
    <w:name w:val="WW8Num20z1"/>
    <w:qFormat/>
    <w:rPr>
      <w:rFonts w:cs="Times New Roman"/>
    </w:rPr>
  </w:style>
  <w:style w:type="character" w:styleId="WW8Num21z0">
    <w:name w:val="WW8Num21z0"/>
    <w:qFormat/>
    <w:rPr>
      <w:rFonts w:cs="Times New Roman"/>
    </w:rPr>
  </w:style>
  <w:style w:type="character" w:styleId="WW8Num22z0">
    <w:name w:val="WW8Num22z0"/>
    <w:qFormat/>
    <w:rPr>
      <w:rFonts w:cs="Times New Roman"/>
    </w:rPr>
  </w:style>
  <w:style w:type="character" w:styleId="DefaultParagraphFont">
    <w:name w:val="Default Paragraph Font"/>
    <w:qFormat/>
    <w:rPr/>
  </w:style>
  <w:style w:type="character" w:styleId="CommentReference">
    <w:name w:val="Comment Reference"/>
    <w:qFormat/>
    <w:rPr>
      <w:sz w:val="16"/>
    </w:rPr>
  </w:style>
  <w:style w:type="character" w:styleId="LineNumber">
    <w:name w:val="Line Number"/>
    <w:rPr>
      <w:rFonts w:ascii="Calibri" w:hAnsi="Calibri" w:cs="Calibri"/>
      <w:sz w:val="16"/>
    </w:rPr>
  </w:style>
  <w:style w:type="character" w:styleId="PageNumber">
    <w:name w:val="Page Number"/>
    <w:basedOn w:val="DefaultParagraphFont"/>
    <w:rPr/>
  </w:style>
  <w:style w:type="character" w:styleId="PlaceholderText">
    <w:name w:val="Placeholder Text"/>
    <w:qFormat/>
    <w:rPr>
      <w:color w:val="808080"/>
    </w:rPr>
  </w:style>
  <w:style w:type="character" w:styleId="HeaderChar">
    <w:name w:val="Header Char"/>
    <w:qFormat/>
    <w:rPr>
      <w:sz w:val="24"/>
    </w:rPr>
  </w:style>
  <w:style w:type="character" w:styleId="FooterChar">
    <w:name w:val="Footer Char"/>
    <w:qFormat/>
    <w:rPr>
      <w:sz w:val="24"/>
    </w:rPr>
  </w:style>
  <w:style w:type="character" w:styleId="Heading2Char">
    <w:name w:val="Heading 2 Char"/>
    <w:qFormat/>
    <w:rPr>
      <w:rFonts w:ascii="Cambria" w:hAnsi="Cambria" w:cs="Cambria"/>
      <w:spacing w:val="10"/>
      <w:sz w:val="28"/>
    </w:rPr>
  </w:style>
  <w:style w:type="character" w:styleId="Delete">
    <w:name w:val="Delete"/>
    <w:qFormat/>
    <w:rPr>
      <w:strike/>
    </w:rPr>
  </w:style>
  <w:style w:type="character" w:styleId="Hand">
    <w:name w:val="Hand"/>
    <w:qFormat/>
    <w:rPr/>
  </w:style>
  <w:style w:type="character" w:styleId="Ruller3">
    <w:name w:val="Ruller 3 תו"/>
    <w:qFormat/>
    <w:rPr>
      <w:rFonts w:ascii="Century" w:hAnsi="Century" w:cs="Century"/>
      <w:spacing w:val="10"/>
      <w:sz w:val="28"/>
    </w:rPr>
  </w:style>
  <w:style w:type="character" w:styleId="BodyRuller">
    <w:name w:val="Body Ruller תו"/>
    <w:qFormat/>
    <w:rPr>
      <w:rFonts w:ascii="Century" w:hAnsi="Century" w:cs="Century"/>
      <w:spacing w:val="10"/>
      <w:sz w:val="28"/>
    </w:rPr>
  </w:style>
  <w:style w:type="character" w:styleId="Ruller38">
    <w:name w:val="סגנון Ruller 3 + (מורכב) ‏8 נק תו"/>
    <w:qFormat/>
    <w:rPr>
      <w:rFonts w:ascii="Century" w:hAnsi="Century" w:cs="Century"/>
      <w:spacing w:val="10"/>
      <w:sz w:val="16"/>
    </w:rPr>
  </w:style>
  <w:style w:type="character" w:styleId="Hyperlink">
    <w:name w:val="Hyperlink"/>
    <w:rPr>
      <w:color w:val="0000FF"/>
      <w:u w:val="single"/>
    </w:rPr>
  </w:style>
  <w:style w:type="character" w:styleId="Style5">
    <w:name w:val="טקסט הערה תו"/>
    <w:qFormat/>
    <w:rPr>
      <w:rFonts w:ascii="Century" w:hAnsi="Century" w:cs="Century"/>
      <w:spacing w:val="10"/>
    </w:rPr>
  </w:style>
  <w:style w:type="character" w:styleId="CommentTextChar">
    <w:name w:val="Comment Text Char"/>
    <w:qFormat/>
    <w:rPr>
      <w:sz w:val="24"/>
    </w:rPr>
  </w:style>
  <w:style w:type="character" w:styleId="CommentSubjectChar">
    <w:name w:val="Comment Subject Char"/>
    <w:qFormat/>
    <w:rPr>
      <w:rFonts w:ascii="Century" w:hAnsi="Century" w:cs="Century"/>
      <w:b/>
      <w:spacing w:val="10"/>
      <w:sz w:val="24"/>
    </w:rPr>
  </w:style>
  <w:style w:type="character" w:styleId="BalloonTextChar">
    <w:name w:val="Balloon Text Char"/>
    <w:qFormat/>
    <w:rPr>
      <w:rFonts w:ascii="Tahoma" w:hAnsi="Tahoma" w:cs="Tahoma"/>
      <w:sz w:val="16"/>
    </w:rPr>
  </w:style>
  <w:style w:type="character" w:styleId="Ruller4">
    <w:name w:val="Ruller 4 ממוספר תו"/>
    <w:qFormat/>
    <w:rPr>
      <w:rFonts w:ascii="Garamond" w:hAnsi="Garamond" w:cs="FrankRuehl"/>
      <w:spacing w:val="10"/>
      <w:sz w:val="24"/>
      <w:szCs w:val="28"/>
      <w:lang w:val="en-US" w:bidi="he-IL"/>
    </w:rPr>
  </w:style>
  <w:style w:type="character" w:styleId="Ruller41">
    <w:name w:val="Ruller4 תו"/>
    <w:qFormat/>
    <w:rPr>
      <w:rFonts w:ascii="Arial TUR" w:hAnsi="Arial TUR" w:cs="Arial TUR"/>
      <w:spacing w:val="10"/>
      <w:sz w:val="28"/>
    </w:rPr>
  </w:style>
  <w:style w:type="character" w:styleId="ruller42">
    <w:name w:val="ruller42"/>
    <w:qFormat/>
    <w:rPr/>
  </w:style>
  <w:style w:type="character" w:styleId="term1">
    <w:name w:val="term_1"/>
    <w:qFormat/>
    <w:rPr/>
  </w:style>
  <w:style w:type="character" w:styleId="FollowedHyperlink">
    <w:name w:val="FollowedHyperlink"/>
    <w:rPr>
      <w:color w:val="800080"/>
      <w:u w:val="single"/>
    </w:rPr>
  </w:style>
  <w:style w:type="character" w:styleId="HTMLCite">
    <w:name w:val="HTML Cite"/>
    <w:qFormat/>
    <w:rPr>
      <w:i/>
    </w:rPr>
  </w:style>
  <w:style w:type="character" w:styleId="HTMLCode">
    <w:name w:val="HTML Code"/>
    <w:qFormat/>
    <w:rPr>
      <w:rFonts w:ascii="Consolas" w:hAnsi="Consolas" w:cs="Consolas"/>
      <w:sz w:val="20"/>
    </w:rPr>
  </w:style>
  <w:style w:type="character" w:styleId="HTMLDefinition">
    <w:name w:val="HTML Definition"/>
    <w:qFormat/>
    <w:rPr>
      <w:i/>
    </w:rPr>
  </w:style>
  <w:style w:type="character" w:styleId="HTMLVariable">
    <w:name w:val="HTML Variable"/>
    <w:qFormat/>
    <w:rPr>
      <w:i/>
    </w:rPr>
  </w:style>
  <w:style w:type="character" w:styleId="HTMLPreformattedChar">
    <w:name w:val="HTML Preformatted Char"/>
    <w:qFormat/>
    <w:rPr>
      <w:rFonts w:ascii="Consolas" w:hAnsi="Consolas" w:cs="Consolas"/>
    </w:rPr>
  </w:style>
  <w:style w:type="character" w:styleId="SalutationChar">
    <w:name w:val="Salutation Char"/>
    <w:qFormat/>
    <w:rPr>
      <w:sz w:val="24"/>
    </w:rPr>
  </w:style>
  <w:style w:type="character" w:styleId="BodyTextChar">
    <w:name w:val="Body Text Char"/>
    <w:qFormat/>
    <w:rPr>
      <w:sz w:val="24"/>
    </w:rPr>
  </w:style>
  <w:style w:type="character" w:styleId="BodyText2Char">
    <w:name w:val="Body Text 2 Char"/>
    <w:qFormat/>
    <w:rPr>
      <w:sz w:val="24"/>
    </w:rPr>
  </w:style>
  <w:style w:type="character" w:styleId="BodyText3Char">
    <w:name w:val="Body Text 3 Char"/>
    <w:qFormat/>
    <w:rPr>
      <w:sz w:val="16"/>
    </w:rPr>
  </w:style>
  <w:style w:type="character" w:styleId="HTMLSample">
    <w:name w:val="HTML Sample"/>
    <w:qFormat/>
    <w:rPr>
      <w:rFonts w:ascii="Consolas" w:hAnsi="Consolas" w:cs="Consolas"/>
      <w:sz w:val="24"/>
    </w:rPr>
  </w:style>
  <w:style w:type="character" w:styleId="Emphasis">
    <w:name w:val="Emphasis"/>
    <w:qFormat/>
    <w:rPr>
      <w:i/>
    </w:rPr>
  </w:style>
  <w:style w:type="character" w:styleId="IntenseEmphasis">
    <w:name w:val="Intense Emphasis"/>
    <w:qFormat/>
    <w:rPr>
      <w:i/>
      <w:color w:val="4F81BD"/>
    </w:rPr>
  </w:style>
  <w:style w:type="character" w:styleId="SubtleEmphasis">
    <w:name w:val="Subtle Emphasis"/>
    <w:qFormat/>
    <w:rPr>
      <w:i/>
      <w:color w:val="404040"/>
    </w:rPr>
  </w:style>
  <w:style w:type="character" w:styleId="IntenseReference">
    <w:name w:val="Intense Reference"/>
    <w:qFormat/>
    <w:rPr>
      <w:b/>
      <w:smallCaps/>
      <w:color w:val="4F81BD"/>
      <w:spacing w:val="5"/>
    </w:rPr>
  </w:style>
  <w:style w:type="character" w:styleId="EndnoteCharacters">
    <w:name w:val="Endnote Characters"/>
    <w:qFormat/>
    <w:rPr>
      <w:vertAlign w:val="superscript"/>
    </w:rPr>
  </w:style>
  <w:style w:type="character" w:styleId="FootnoteCharacters">
    <w:name w:val="Footnote Characters"/>
    <w:qFormat/>
    <w:rPr>
      <w:vertAlign w:val="superscript"/>
    </w:rPr>
  </w:style>
  <w:style w:type="character" w:styleId="SubtleReference">
    <w:name w:val="Subtle Reference"/>
    <w:qFormat/>
    <w:rPr>
      <w:smallCaps/>
      <w:color w:val="5A5A5A"/>
    </w:rPr>
  </w:style>
  <w:style w:type="character" w:styleId="Strong">
    <w:name w:val="Strong"/>
    <w:qFormat/>
    <w:rPr>
      <w:b/>
    </w:rPr>
  </w:style>
  <w:style w:type="character" w:styleId="SignatureChar">
    <w:name w:val="Signature Char"/>
    <w:qFormat/>
    <w:rPr>
      <w:sz w:val="24"/>
    </w:rPr>
  </w:style>
  <w:style w:type="character" w:styleId="E-mailSignatureChar">
    <w:name w:val="E-mail Signature Char"/>
    <w:qFormat/>
    <w:rPr>
      <w:sz w:val="24"/>
    </w:rPr>
  </w:style>
  <w:style w:type="character" w:styleId="EndnoteTextChar">
    <w:name w:val="Endnote Text Char"/>
    <w:qFormat/>
    <w:rPr/>
  </w:style>
  <w:style w:type="character" w:styleId="FootnoteTextChar">
    <w:name w:val="Footnote Text Char"/>
    <w:qFormat/>
    <w:rPr/>
  </w:style>
  <w:style w:type="character" w:styleId="MacroTextChar">
    <w:name w:val="Macro Text Char"/>
    <w:qFormat/>
    <w:rPr>
      <w:rFonts w:ascii="Consolas" w:hAnsi="Consolas" w:cs="Consolas"/>
    </w:rPr>
  </w:style>
  <w:style w:type="character" w:styleId="PlainTextChar">
    <w:name w:val="Plain Text Char"/>
    <w:qFormat/>
    <w:rPr>
      <w:rFonts w:ascii="Consolas" w:hAnsi="Consolas" w:cs="Consolas"/>
      <w:sz w:val="21"/>
    </w:rPr>
  </w:style>
  <w:style w:type="character" w:styleId="BookTitle">
    <w:name w:val="Book Title"/>
    <w:qFormat/>
    <w:rPr>
      <w:b/>
      <w:i/>
      <w:spacing w:val="5"/>
    </w:rPr>
  </w:style>
  <w:style w:type="character" w:styleId="Heading1Char">
    <w:name w:val="Heading 1 Char"/>
    <w:qFormat/>
    <w:rPr>
      <w:rFonts w:ascii="Miriam" w:hAnsi="Miriam" w:cs="Miriam"/>
      <w:sz w:val="28"/>
    </w:rPr>
  </w:style>
  <w:style w:type="character" w:styleId="Heading3Char">
    <w:name w:val="Heading 3 Char"/>
    <w:qFormat/>
    <w:rPr>
      <w:rFonts w:ascii="Cambria" w:hAnsi="Cambria" w:cs="Cambria"/>
      <w:sz w:val="28"/>
    </w:rPr>
  </w:style>
  <w:style w:type="character" w:styleId="Heading5Char">
    <w:name w:val="Heading 5 Char"/>
    <w:qFormat/>
    <w:rPr>
      <w:rFonts w:ascii="Cambria" w:hAnsi="Cambria" w:cs="Cambria"/>
      <w:color w:val="365F91"/>
      <w:sz w:val="24"/>
    </w:rPr>
  </w:style>
  <w:style w:type="character" w:styleId="Heading6Char">
    <w:name w:val="Heading 6 Char"/>
    <w:qFormat/>
    <w:rPr>
      <w:rFonts w:ascii="Cambria" w:hAnsi="Cambria" w:cs="Cambria"/>
      <w:color w:val="243F60"/>
      <w:sz w:val="24"/>
    </w:rPr>
  </w:style>
  <w:style w:type="character" w:styleId="Heading7Char">
    <w:name w:val="Heading 7 Char"/>
    <w:qFormat/>
    <w:rPr>
      <w:rFonts w:ascii="Cambria" w:hAnsi="Cambria" w:cs="Cambria"/>
      <w:i/>
      <w:color w:val="243F60"/>
      <w:sz w:val="24"/>
    </w:rPr>
  </w:style>
  <w:style w:type="character" w:styleId="Heading8Char">
    <w:name w:val="Heading 8 Char"/>
    <w:qFormat/>
    <w:rPr>
      <w:rFonts w:ascii="Cambria" w:hAnsi="Cambria" w:cs="Cambria"/>
      <w:color w:val="272727"/>
      <w:sz w:val="21"/>
    </w:rPr>
  </w:style>
  <w:style w:type="character" w:styleId="Heading9Char">
    <w:name w:val="Heading 9 Char"/>
    <w:qFormat/>
    <w:rPr>
      <w:rFonts w:ascii="Cambria" w:hAnsi="Cambria" w:cs="Cambria"/>
      <w:i/>
      <w:color w:val="272727"/>
      <w:sz w:val="21"/>
    </w:rPr>
  </w:style>
  <w:style w:type="character" w:styleId="NoteHeadingChar">
    <w:name w:val="Note Heading Char"/>
    <w:qFormat/>
    <w:rPr>
      <w:sz w:val="24"/>
    </w:rPr>
  </w:style>
  <w:style w:type="character" w:styleId="TitleChar">
    <w:name w:val="Title Char"/>
    <w:qFormat/>
    <w:rPr>
      <w:rFonts w:ascii="Cambria" w:hAnsi="Cambria" w:cs="Cambria"/>
      <w:spacing w:val="-10"/>
      <w:kern w:val="2"/>
      <w:sz w:val="56"/>
    </w:rPr>
  </w:style>
  <w:style w:type="character" w:styleId="SubtitleChar">
    <w:name w:val="Subtitle Char"/>
    <w:qFormat/>
    <w:rPr>
      <w:rFonts w:ascii="Calibri" w:hAnsi="Calibri" w:cs="Calibri"/>
      <w:color w:val="5A5A5A"/>
      <w:spacing w:val="15"/>
      <w:sz w:val="22"/>
    </w:rPr>
  </w:style>
  <w:style w:type="character" w:styleId="MessageHeaderChar">
    <w:name w:val="Message Header Char"/>
    <w:qFormat/>
    <w:rPr>
      <w:rFonts w:ascii="Cambria" w:hAnsi="Cambria" w:cs="Cambria"/>
      <w:sz w:val="24"/>
      <w:shd w:fill="CCCCCC" w:val="clear"/>
    </w:rPr>
  </w:style>
  <w:style w:type="character" w:styleId="BodyTextIndentChar">
    <w:name w:val="Body Text Indent Char"/>
    <w:qFormat/>
    <w:rPr>
      <w:sz w:val="24"/>
    </w:rPr>
  </w:style>
  <w:style w:type="character" w:styleId="BodyTextIndent2Char">
    <w:name w:val="Body Text Indent 2 Char"/>
    <w:qFormat/>
    <w:rPr>
      <w:sz w:val="24"/>
    </w:rPr>
  </w:style>
  <w:style w:type="character" w:styleId="BodyTextIndent3Char">
    <w:name w:val="Body Text Indent 3 Char"/>
    <w:qFormat/>
    <w:rPr>
      <w:sz w:val="16"/>
    </w:rPr>
  </w:style>
  <w:style w:type="character" w:styleId="BodyTextFirstIndentChar">
    <w:name w:val="Body Text First Indent Char"/>
    <w:qFormat/>
    <w:rPr>
      <w:sz w:val="24"/>
    </w:rPr>
  </w:style>
  <w:style w:type="character" w:styleId="BodyTextFirstIndent2Char">
    <w:name w:val="Body Text First Indent 2 Char"/>
    <w:qFormat/>
    <w:rPr>
      <w:sz w:val="24"/>
    </w:rPr>
  </w:style>
  <w:style w:type="character" w:styleId="HTMLAddressChar">
    <w:name w:val="HTML Address Char"/>
    <w:qFormat/>
    <w:rPr>
      <w:i/>
      <w:sz w:val="24"/>
    </w:rPr>
  </w:style>
  <w:style w:type="character" w:styleId="HTMLTypewriter">
    <w:name w:val="HTML Typewriter"/>
    <w:qFormat/>
    <w:rPr>
      <w:rFonts w:ascii="Consolas" w:hAnsi="Consolas" w:cs="Consolas"/>
      <w:sz w:val="20"/>
    </w:rPr>
  </w:style>
  <w:style w:type="character" w:styleId="DocumentMapChar">
    <w:name w:val="Document Map Char"/>
    <w:qFormat/>
    <w:rPr>
      <w:rFonts w:ascii="Tahoma" w:hAnsi="Tahoma" w:cs="Tahoma"/>
      <w:sz w:val="16"/>
    </w:rPr>
  </w:style>
  <w:style w:type="character" w:styleId="HTMLKeyboard">
    <w:name w:val="HTML Keyboard"/>
    <w:qFormat/>
    <w:rPr>
      <w:rFonts w:ascii="Consolas" w:hAnsi="Consolas" w:cs="Consolas"/>
      <w:sz w:val="20"/>
    </w:rPr>
  </w:style>
  <w:style w:type="character" w:styleId="ClosingChar">
    <w:name w:val="Closing Char"/>
    <w:qFormat/>
    <w:rPr>
      <w:sz w:val="24"/>
    </w:rPr>
  </w:style>
  <w:style w:type="character" w:styleId="QuoteChar">
    <w:name w:val="Quote Char"/>
    <w:qFormat/>
    <w:rPr>
      <w:i/>
      <w:color w:val="404040"/>
      <w:sz w:val="24"/>
    </w:rPr>
  </w:style>
  <w:style w:type="character" w:styleId="IntenseQuoteChar">
    <w:name w:val="Intense Quote Char"/>
    <w:qFormat/>
    <w:rPr>
      <w:i/>
      <w:color w:val="4F81BD"/>
      <w:sz w:val="24"/>
    </w:rPr>
  </w:style>
  <w:style w:type="character" w:styleId="HTMLAcronym">
    <w:name w:val="HTML Acronym"/>
    <w:basedOn w:val="DefaultParagraphFont"/>
    <w:qFormat/>
    <w:rPr/>
  </w:style>
  <w:style w:type="character" w:styleId="DateChar">
    <w:name w:val="Date Char"/>
    <w:qFormat/>
    <w:rPr>
      <w:sz w:val="24"/>
    </w:rPr>
  </w:style>
  <w:style w:type="paragraph" w:styleId="Heading">
    <w:name w:val="Heading"/>
    <w:basedOn w:val="Normal"/>
    <w:next w:val="Normal"/>
    <w:qFormat/>
    <w:pPr>
      <w:spacing w:before="0" w:after="0"/>
      <w:ind w:hanging="0" w:start="0" w:end="0"/>
      <w:contextualSpacing/>
      <w:jc w:val="start"/>
    </w:pPr>
    <w:rPr>
      <w:rFonts w:ascii="Cambria" w:hAnsi="Cambria" w:cs="Times New Roman"/>
      <w:spacing w:val="-10"/>
      <w:kern w:val="2"/>
      <w:sz w:val="56"/>
      <w:szCs w:val="56"/>
    </w:rPr>
  </w:style>
  <w:style w:type="paragraph" w:styleId="BodyText">
    <w:name w:val="Body Text"/>
    <w:basedOn w:val="Normal"/>
    <w:pPr>
      <w:spacing w:before="0" w:after="120"/>
      <w:ind w:hanging="0" w:start="0" w:end="0"/>
      <w:jc w:val="start"/>
    </w:pPr>
    <w:rPr/>
  </w:style>
  <w:style w:type="paragraph" w:styleId="List">
    <w:name w:val="List"/>
    <w:basedOn w:val="Normal"/>
    <w:pPr>
      <w:spacing w:before="0" w:after="0"/>
      <w:ind w:hanging="283" w:start="283" w:end="0"/>
      <w:contextualSpacing/>
      <w:jc w:val="start"/>
    </w:pPr>
    <w:rPr/>
  </w:style>
  <w:style w:type="paragraph" w:styleId="Caption">
    <w:name w:val="Caption"/>
    <w:basedOn w:val="Normal"/>
    <w:next w:val="Normal"/>
    <w:qFormat/>
    <w:pPr>
      <w:spacing w:before="0" w:after="200"/>
      <w:ind w:hanging="0" w:start="0" w:end="0"/>
      <w:jc w:val="start"/>
    </w:pPr>
    <w:rPr>
      <w:i/>
      <w:iCs/>
      <w:color w:val="1F497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ind w:hanging="0" w:start="0" w:end="0"/>
      <w:jc w:val="start"/>
    </w:pPr>
    <w:rPr/>
  </w:style>
  <w:style w:type="paragraph" w:styleId="Footer">
    <w:name w:val="Footer"/>
    <w:basedOn w:val="Normal"/>
    <w:pPr>
      <w:tabs>
        <w:tab w:val="clear" w:pos="720"/>
        <w:tab w:val="center" w:pos="4153" w:leader="none"/>
        <w:tab w:val="right" w:pos="8306" w:leader="none"/>
      </w:tabs>
      <w:ind w:hanging="0" w:start="0" w:end="0"/>
      <w:jc w:val="start"/>
    </w:pPr>
    <w:rPr/>
  </w:style>
  <w:style w:type="paragraph" w:styleId="Style6">
    <w:name w:val="סעיפים"/>
    <w:basedOn w:val="Normal"/>
    <w:qFormat/>
    <w:pPr>
      <w:tabs>
        <w:tab w:val="clear" w:pos="720"/>
        <w:tab w:val="left" w:pos="567" w:leader="none"/>
        <w:tab w:val="left" w:pos="1134" w:leader="none"/>
        <w:tab w:val="left" w:pos="1701" w:leader="none"/>
        <w:tab w:val="left" w:pos="2268" w:leader="none"/>
        <w:tab w:val="left" w:pos="2835" w:leader="none"/>
        <w:tab w:val="left" w:pos="3402" w:leader="none"/>
        <w:tab w:val="left" w:pos="3969" w:leader="none"/>
      </w:tabs>
      <w:spacing w:lineRule="auto" w:line="360"/>
      <w:ind w:hanging="0" w:start="0" w:end="0"/>
      <w:jc w:val="both"/>
    </w:pPr>
    <w:rPr/>
  </w:style>
  <w:style w:type="paragraph" w:styleId="CommentText">
    <w:name w:val="Comment Text"/>
    <w:basedOn w:val="Normal"/>
    <w:qFormat/>
    <w:pPr>
      <w:ind w:hanging="0" w:start="0" w:end="0"/>
      <w:jc w:val="start"/>
    </w:pPr>
    <w:rPr>
      <w:rFonts w:cs="Times New Roman"/>
    </w:rPr>
  </w:style>
  <w:style w:type="paragraph" w:styleId="BalloonText">
    <w:name w:val="Balloon Text"/>
    <w:basedOn w:val="Normal"/>
    <w:qFormat/>
    <w:pPr>
      <w:ind w:hanging="0" w:start="0" w:end="0"/>
      <w:jc w:val="start"/>
    </w:pPr>
    <w:rPr>
      <w:rFonts w:ascii="Tahoma" w:hAnsi="Tahoma" w:cs="Tahoma"/>
      <w:sz w:val="16"/>
      <w:szCs w:val="16"/>
    </w:rPr>
  </w:style>
  <w:style w:type="paragraph" w:styleId="Ruller31">
    <w:name w:val="Ruller 3"/>
    <w:basedOn w:val="Normal"/>
    <w:qFormat/>
    <w:pPr>
      <w:tabs>
        <w:tab w:val="clear" w:pos="720"/>
        <w:tab w:val="left" w:pos="3210" w:leader="none"/>
        <w:tab w:val="left" w:pos="6753" w:leader="none"/>
      </w:tabs>
      <w:overflowPunct w:val="false"/>
      <w:autoSpaceDE w:val="false"/>
      <w:spacing w:lineRule="auto" w:line="360"/>
      <w:ind w:hanging="0" w:start="0" w:end="0"/>
      <w:jc w:val="start"/>
      <w:textAlignment w:val="baseline"/>
    </w:pPr>
    <w:rPr>
      <w:rFonts w:ascii="Century" w:hAnsi="Century" w:cs="FrankRuehl"/>
      <w:spacing w:val="10"/>
      <w:sz w:val="22"/>
      <w:szCs w:val="28"/>
    </w:rPr>
  </w:style>
  <w:style w:type="paragraph" w:styleId="Pskdinhead">
    <w:name w:val="Pskdin head"/>
    <w:basedOn w:val="Normal"/>
    <w:qFormat/>
    <w:pPr>
      <w:overflowPunct w:val="false"/>
      <w:autoSpaceDE w:val="false"/>
      <w:spacing w:lineRule="auto" w:line="360"/>
      <w:ind w:hanging="0" w:start="0" w:end="0"/>
      <w:jc w:val="start"/>
      <w:textAlignment w:val="baseline"/>
    </w:pPr>
    <w:rPr>
      <w:rFonts w:ascii="Century" w:hAnsi="Century" w:cs="FrankRuehl"/>
      <w:b/>
      <w:bCs/>
      <w:spacing w:val="10"/>
      <w:sz w:val="20"/>
      <w:szCs w:val="28"/>
      <w:u w:val="single"/>
    </w:rPr>
  </w:style>
  <w:style w:type="paragraph" w:styleId="FileNumber">
    <w:name w:val="File Number"/>
    <w:basedOn w:val="Normal"/>
    <w:qFormat/>
    <w:pPr>
      <w:overflowPunct w:val="false"/>
      <w:autoSpaceDE w:val="false"/>
      <w:spacing w:lineRule="auto" w:line="360"/>
      <w:ind w:hanging="0" w:start="0" w:end="0"/>
      <w:jc w:val="end"/>
      <w:textAlignment w:val="baseline"/>
    </w:pPr>
    <w:rPr>
      <w:rFonts w:ascii="Century" w:hAnsi="Century" w:cs="FrankRuehl"/>
      <w:bCs/>
      <w:spacing w:val="10"/>
      <w:sz w:val="20"/>
      <w:szCs w:val="28"/>
    </w:rPr>
  </w:style>
  <w:style w:type="paragraph" w:styleId="FirstpagestylePsakdin">
    <w:name w:val="First page style Psak din"/>
    <w:basedOn w:val="Ruller31"/>
    <w:qFormat/>
    <w:pPr>
      <w:tabs>
        <w:tab w:val="clear" w:pos="3210"/>
        <w:tab w:val="left" w:pos="3209" w:leader="none"/>
        <w:tab w:val="left" w:pos="6753" w:leader="none"/>
      </w:tabs>
      <w:ind w:hanging="0" w:start="0" w:end="0"/>
      <w:jc w:val="start"/>
    </w:pPr>
    <w:rPr>
      <w:bCs/>
    </w:rPr>
  </w:style>
  <w:style w:type="paragraph" w:styleId="TyutaDate">
    <w:name w:val="Tyuta Date"/>
    <w:basedOn w:val="Normal"/>
    <w:qFormat/>
    <w:pPr>
      <w:overflowPunct w:val="false"/>
      <w:autoSpaceDE w:val="false"/>
      <w:spacing w:lineRule="auto" w:line="360"/>
      <w:ind w:hanging="0" w:start="0" w:end="0"/>
      <w:jc w:val="center"/>
      <w:textAlignment w:val="baseline"/>
    </w:pPr>
    <w:rPr>
      <w:rFonts w:ascii="Century" w:hAnsi="Century" w:cs="FrankRuehl"/>
      <w:b/>
      <w:bCs/>
      <w:i/>
      <w:iCs/>
      <w:spacing w:val="10"/>
      <w:sz w:val="28"/>
      <w:szCs w:val="28"/>
    </w:rPr>
  </w:style>
  <w:style w:type="paragraph" w:styleId="DocumentHead">
    <w:name w:val="Document Head"/>
    <w:basedOn w:val="Normal"/>
    <w:qFormat/>
    <w:pPr>
      <w:overflowPunct w:val="false"/>
      <w:autoSpaceDE w:val="false"/>
      <w:spacing w:lineRule="auto" w:line="360"/>
      <w:ind w:hanging="0" w:start="0" w:end="0"/>
      <w:jc w:val="center"/>
      <w:textAlignment w:val="baseline"/>
    </w:pPr>
    <w:rPr>
      <w:rFonts w:ascii="Century" w:hAnsi="Century" w:cs="FrankRuehl"/>
      <w:bCs/>
      <w:spacing w:val="30"/>
      <w:sz w:val="20"/>
      <w:szCs w:val="28"/>
      <w:u w:val="single"/>
    </w:rPr>
  </w:style>
  <w:style w:type="paragraph" w:styleId="TfutzaList">
    <w:name w:val="Tfutza List"/>
    <w:basedOn w:val="Normal"/>
    <w:qFormat/>
    <w:pPr>
      <w:overflowPunct w:val="false"/>
      <w:autoSpaceDE w:val="false"/>
      <w:spacing w:lineRule="auto" w:line="360"/>
      <w:ind w:hanging="0" w:start="0" w:end="0"/>
      <w:jc w:val="start"/>
      <w:textAlignment w:val="baseline"/>
    </w:pPr>
    <w:rPr>
      <w:rFonts w:ascii="Century" w:hAnsi="Century" w:cs="FrankRuehl"/>
      <w:i/>
      <w:iCs/>
      <w:spacing w:val="10"/>
      <w:sz w:val="20"/>
      <w:szCs w:val="28"/>
    </w:rPr>
  </w:style>
  <w:style w:type="paragraph" w:styleId="Ruller43">
    <w:name w:val="Ruller4"/>
    <w:basedOn w:val="Normal"/>
    <w:qFormat/>
    <w:pPr>
      <w:tabs>
        <w:tab w:val="clear" w:pos="720"/>
        <w:tab w:val="left" w:pos="800" w:leader="none"/>
      </w:tabs>
      <w:overflowPunct w:val="false"/>
      <w:autoSpaceDE w:val="false"/>
      <w:spacing w:lineRule="auto" w:line="360"/>
      <w:ind w:hanging="0" w:start="0" w:end="0"/>
      <w:jc w:val="both"/>
      <w:textAlignment w:val="baseline"/>
    </w:pPr>
    <w:rPr>
      <w:rFonts w:ascii="Arial TUR" w:hAnsi="Arial TUR" w:cs="FrankRuehl"/>
      <w:spacing w:val="10"/>
      <w:sz w:val="22"/>
      <w:szCs w:val="28"/>
    </w:rPr>
  </w:style>
  <w:style w:type="paragraph" w:styleId="Ruller5">
    <w:name w:val="Ruller5"/>
    <w:basedOn w:val="Normal"/>
    <w:qFormat/>
    <w:pPr>
      <w:overflowPunct w:val="false"/>
      <w:autoSpaceDE w:val="false"/>
      <w:ind w:hanging="0" w:start="1644" w:end="1276"/>
      <w:jc w:val="both"/>
      <w:textAlignment w:val="baseline"/>
    </w:pPr>
    <w:rPr>
      <w:rFonts w:ascii="Arial TUR" w:hAnsi="Arial TUR" w:cs="FrankRuehl"/>
      <w:spacing w:val="10"/>
      <w:sz w:val="22"/>
      <w:szCs w:val="28"/>
    </w:rPr>
  </w:style>
  <w:style w:type="paragraph" w:styleId="Ruller6">
    <w:name w:val="Ruller6"/>
    <w:basedOn w:val="Normal"/>
    <w:qFormat/>
    <w:pPr>
      <w:tabs>
        <w:tab w:val="clear" w:pos="720"/>
        <w:tab w:val="left" w:pos="794" w:leader="none"/>
        <w:tab w:val="left" w:pos="2268" w:leader="none"/>
        <w:tab w:val="left" w:pos="5783" w:leader="none"/>
        <w:tab w:val="left" w:pos="7371" w:leader="none"/>
      </w:tabs>
      <w:overflowPunct w:val="false"/>
      <w:autoSpaceDE w:val="false"/>
      <w:spacing w:lineRule="auto" w:line="360"/>
      <w:ind w:hanging="0" w:start="0" w:end="0"/>
      <w:jc w:val="start"/>
      <w:textAlignment w:val="baseline"/>
    </w:pPr>
    <w:rPr>
      <w:rFonts w:ascii="Arial TUR" w:hAnsi="Arial TUR" w:cs="DavidFix"/>
      <w:spacing w:val="10"/>
      <w:sz w:val="22"/>
      <w:szCs w:val="20"/>
    </w:rPr>
  </w:style>
  <w:style w:type="paragraph" w:styleId="WriterName">
    <w:name w:val="Writer Name"/>
    <w:basedOn w:val="Ruller43"/>
    <w:next w:val="Ruller43"/>
    <w:qFormat/>
    <w:pPr>
      <w:ind w:hanging="0" w:start="0" w:end="0"/>
      <w:jc w:val="both"/>
    </w:pPr>
    <w:rPr>
      <w:rFonts w:cs="David"/>
      <w:b/>
      <w:bCs/>
      <w:u w:val="single"/>
    </w:rPr>
  </w:style>
  <w:style w:type="paragraph" w:styleId="2">
    <w:name w:val="ñâðåï2"/>
    <w:basedOn w:val="Normal"/>
    <w:qFormat/>
    <w:pPr>
      <w:autoSpaceDE w:val="false"/>
      <w:spacing w:lineRule="auto" w:line="360"/>
      <w:ind w:hanging="0" w:start="0" w:end="0"/>
      <w:jc w:val="start"/>
    </w:pPr>
    <w:rPr>
      <w:rFonts w:ascii="Century" w:hAnsi="Century" w:cs="Times New Roman"/>
      <w:spacing w:val="10"/>
      <w:sz w:val="20"/>
      <w:szCs w:val="28"/>
    </w:rPr>
  </w:style>
  <w:style w:type="paragraph" w:styleId="Casenameintextbody">
    <w:name w:val="Case name in text body"/>
    <w:basedOn w:val="Normal"/>
    <w:qFormat/>
    <w:pPr>
      <w:autoSpaceDE w:val="false"/>
      <w:spacing w:lineRule="auto" w:line="360"/>
      <w:ind w:hanging="0" w:start="0" w:end="0"/>
      <w:jc w:val="end"/>
    </w:pPr>
    <w:rPr>
      <w:rFonts w:ascii="Century" w:hAnsi="Century" w:cs="Times New Roman"/>
      <w:b/>
      <w:bCs/>
      <w:spacing w:val="10"/>
      <w:sz w:val="20"/>
      <w:szCs w:val="28"/>
      <w:u w:val="single"/>
    </w:rPr>
  </w:style>
  <w:style w:type="paragraph" w:styleId="precasestyle">
    <w:name w:val="pre_case style"/>
    <w:basedOn w:val="Normal"/>
    <w:qFormat/>
    <w:pPr>
      <w:tabs>
        <w:tab w:val="clear" w:pos="720"/>
        <w:tab w:val="left" w:pos="2552" w:leader="none"/>
      </w:tabs>
      <w:autoSpaceDE w:val="false"/>
      <w:spacing w:lineRule="auto" w:line="360"/>
      <w:ind w:hanging="0" w:start="0" w:end="2549"/>
      <w:jc w:val="start"/>
    </w:pPr>
    <w:rPr>
      <w:rFonts w:ascii="Century" w:hAnsi="Century" w:cs="Times New Roman"/>
      <w:spacing w:val="10"/>
      <w:sz w:val="20"/>
      <w:szCs w:val="28"/>
    </w:rPr>
  </w:style>
  <w:style w:type="paragraph" w:styleId="BodyRuller1">
    <w:name w:val="Body Ruller"/>
    <w:basedOn w:val="Normal"/>
    <w:qFormat/>
    <w:pPr>
      <w:overflowPunct w:val="false"/>
      <w:autoSpaceDE w:val="false"/>
      <w:spacing w:lineRule="auto" w:line="360"/>
      <w:ind w:hanging="0" w:start="0" w:end="0"/>
      <w:jc w:val="start"/>
      <w:textAlignment w:val="baseline"/>
    </w:pPr>
    <w:rPr>
      <w:rFonts w:ascii="Century" w:hAnsi="Century" w:cs="FrankRuehl"/>
      <w:spacing w:val="10"/>
      <w:sz w:val="22"/>
      <w:szCs w:val="28"/>
    </w:rPr>
  </w:style>
  <w:style w:type="paragraph" w:styleId="Ruller381">
    <w:name w:val="סגנון Ruller 3 + (מורכב) ‏8 נק"/>
    <w:basedOn w:val="BodyRuller1"/>
    <w:qFormat/>
    <w:pPr>
      <w:ind w:hanging="0" w:start="0" w:end="0"/>
      <w:jc w:val="start"/>
    </w:pPr>
    <w:rPr>
      <w:szCs w:val="16"/>
    </w:rPr>
  </w:style>
  <w:style w:type="paragraph" w:styleId="Ruller44">
    <w:name w:val="Ruller 4 ממוספר"/>
    <w:basedOn w:val="Ruller43"/>
    <w:next w:val="Ruller43"/>
    <w:qFormat/>
    <w:pPr>
      <w:numPr>
        <w:ilvl w:val="0"/>
        <w:numId w:val="12"/>
      </w:numPr>
      <w:ind w:hanging="0" w:start="0" w:end="0"/>
      <w:jc w:val="both"/>
    </w:pPr>
    <w:rPr>
      <w:rFonts w:ascii="Garamond" w:hAnsi="Garamond" w:cs="Garamond"/>
      <w:sz w:val="24"/>
    </w:rPr>
  </w:style>
  <w:style w:type="paragraph" w:styleId="Ruller45">
    <w:name w:val="Ruller4 אלפביתי"/>
    <w:basedOn w:val="Ruller43"/>
    <w:next w:val="Ruller43"/>
    <w:qFormat/>
    <w:pPr>
      <w:numPr>
        <w:ilvl w:val="0"/>
        <w:numId w:val="16"/>
      </w:numPr>
      <w:ind w:hanging="0" w:start="0" w:end="0"/>
      <w:jc w:val="both"/>
    </w:pPr>
    <w:rPr/>
  </w:style>
  <w:style w:type="paragraph" w:styleId="ruller411">
    <w:name w:val="ruller41"/>
    <w:basedOn w:val="Normal"/>
    <w:qFormat/>
    <w:pPr>
      <w:overflowPunct w:val="false"/>
      <w:autoSpaceDE w:val="false"/>
      <w:spacing w:lineRule="auto" w:line="360"/>
      <w:ind w:hanging="0" w:start="0" w:end="0"/>
      <w:jc w:val="both"/>
    </w:pPr>
    <w:rPr>
      <w:rFonts w:ascii="Arial TUR" w:hAnsi="Arial TUR" w:cs="Times New Roman"/>
      <w:spacing w:val="10"/>
      <w:sz w:val="22"/>
      <w:szCs w:val="22"/>
    </w:rPr>
  </w:style>
  <w:style w:type="paragraph" w:styleId="ruller51">
    <w:name w:val="ruller51"/>
    <w:basedOn w:val="Normal"/>
    <w:qFormat/>
    <w:pPr>
      <w:overflowPunct w:val="false"/>
      <w:autoSpaceDE w:val="false"/>
      <w:ind w:hanging="0" w:start="1642" w:end="1282"/>
      <w:jc w:val="both"/>
    </w:pPr>
    <w:rPr>
      <w:rFonts w:ascii="Arial TUR" w:hAnsi="Arial TUR" w:cs="Times New Roman"/>
      <w:spacing w:val="10"/>
      <w:sz w:val="22"/>
      <w:szCs w:val="22"/>
    </w:rPr>
  </w:style>
  <w:style w:type="paragraph" w:styleId="CommentSubject">
    <w:name w:val="Comment Subject"/>
    <w:basedOn w:val="CommentText"/>
    <w:next w:val="CommentText"/>
    <w:qFormat/>
    <w:pPr>
      <w:overflowPunct w:val="false"/>
      <w:autoSpaceDE w:val="false"/>
      <w:ind w:hanging="0" w:start="0" w:end="0"/>
      <w:jc w:val="start"/>
      <w:textAlignment w:val="baseline"/>
    </w:pPr>
    <w:rPr>
      <w:rFonts w:ascii="Century" w:hAnsi="Century" w:cs="FrankRuehl"/>
      <w:b/>
      <w:bCs/>
      <w:spacing w:val="10"/>
      <w:sz w:val="20"/>
      <w:szCs w:val="20"/>
    </w:rPr>
  </w:style>
  <w:style w:type="paragraph" w:styleId="Revision">
    <w:name w:val="Revision"/>
    <w:qFormat/>
    <w:pPr>
      <w:widowControl/>
      <w:bidi w:val="0"/>
    </w:pPr>
    <w:rPr>
      <w:rFonts w:ascii="Century" w:hAnsi="Century" w:eastAsia="Times New Roman" w:cs="FrankRuehl"/>
      <w:color w:val="auto"/>
      <w:spacing w:val="10"/>
      <w:sz w:val="20"/>
      <w:szCs w:val="28"/>
      <w:lang w:val="en-US" w:bidi="he-IL" w:eastAsia="zh-CN"/>
    </w:rPr>
  </w:style>
  <w:style w:type="paragraph" w:styleId="ruller40">
    <w:name w:val="ruller40"/>
    <w:basedOn w:val="Normal"/>
    <w:qFormat/>
    <w:pPr>
      <w:bidi w:val="0"/>
      <w:spacing w:before="280" w:after="280"/>
      <w:jc w:val="start"/>
    </w:pPr>
    <w:rPr>
      <w:rFonts w:cs="Times New Roman"/>
    </w:rPr>
  </w:style>
  <w:style w:type="paragraph" w:styleId="ListParagraph">
    <w:name w:val="List Paragraph"/>
    <w:basedOn w:val="Normal"/>
    <w:qFormat/>
    <w:pPr>
      <w:spacing w:lineRule="auto" w:line="256" w:before="0" w:after="160"/>
      <w:ind w:hanging="0" w:start="720" w:end="0"/>
      <w:contextualSpacing/>
      <w:jc w:val="start"/>
    </w:pPr>
    <w:rPr>
      <w:rFonts w:ascii="Calibri" w:hAnsi="Calibri" w:cs="Arial"/>
      <w:sz w:val="22"/>
      <w:szCs w:val="22"/>
    </w:rPr>
  </w:style>
  <w:style w:type="paragraph" w:styleId="bodyverdict">
    <w:name w:val="bodyverdict"/>
    <w:basedOn w:val="Normal"/>
    <w:qFormat/>
    <w:pPr>
      <w:bidi w:val="0"/>
      <w:spacing w:before="280" w:after="280"/>
      <w:jc w:val="start"/>
    </w:pPr>
    <w:rPr>
      <w:rFonts w:cs="Times New Roman"/>
    </w:rPr>
  </w:style>
  <w:style w:type="paragraph" w:styleId="NormalWeb">
    <w:name w:val="Normal (Web)"/>
    <w:basedOn w:val="Normal"/>
    <w:qFormat/>
    <w:pPr>
      <w:bidi w:val="0"/>
      <w:spacing w:before="280" w:after="280"/>
      <w:jc w:val="start"/>
    </w:pPr>
    <w:rPr>
      <w:rFonts w:cs="Times New Roman"/>
    </w:rPr>
  </w:style>
  <w:style w:type="paragraph" w:styleId="HTMLPreformatted">
    <w:name w:val="HTML Preformatted"/>
    <w:basedOn w:val="Normal"/>
    <w:qFormat/>
    <w:pPr>
      <w:ind w:hanging="0" w:start="0" w:end="0"/>
      <w:jc w:val="start"/>
    </w:pPr>
    <w:rPr>
      <w:rFonts w:ascii="Consolas" w:hAnsi="Consolas" w:cs="Consolas"/>
      <w:sz w:val="20"/>
      <w:szCs w:val="20"/>
    </w:rPr>
  </w:style>
  <w:style w:type="paragraph" w:styleId="Index1">
    <w:name w:val="Index 1"/>
    <w:basedOn w:val="Normal"/>
    <w:next w:val="Normal"/>
    <w:pPr>
      <w:ind w:hanging="240" w:start="240" w:end="0"/>
      <w:jc w:val="start"/>
    </w:pPr>
    <w:rPr/>
  </w:style>
  <w:style w:type="paragraph" w:styleId="Index2">
    <w:name w:val="Index 2"/>
    <w:basedOn w:val="Normal"/>
    <w:next w:val="Normal"/>
    <w:pPr>
      <w:ind w:hanging="240" w:start="480" w:end="0"/>
      <w:jc w:val="start"/>
    </w:pPr>
    <w:rPr/>
  </w:style>
  <w:style w:type="paragraph" w:styleId="Index3">
    <w:name w:val="Index 3"/>
    <w:basedOn w:val="Normal"/>
    <w:next w:val="Normal"/>
    <w:pPr>
      <w:ind w:hanging="240" w:start="720" w:end="0"/>
      <w:jc w:val="start"/>
    </w:pPr>
    <w:rPr/>
  </w:style>
  <w:style w:type="paragraph" w:styleId="Index4">
    <w:name w:val="Index 4"/>
    <w:basedOn w:val="Normal"/>
    <w:next w:val="Normal"/>
    <w:qFormat/>
    <w:pPr>
      <w:ind w:hanging="240" w:start="960" w:end="0"/>
      <w:jc w:val="start"/>
    </w:pPr>
    <w:rPr/>
  </w:style>
  <w:style w:type="paragraph" w:styleId="Index5">
    <w:name w:val="Index 5"/>
    <w:basedOn w:val="Normal"/>
    <w:next w:val="Normal"/>
    <w:qFormat/>
    <w:pPr>
      <w:ind w:hanging="240" w:start="1200" w:end="0"/>
      <w:jc w:val="start"/>
    </w:pPr>
    <w:rPr/>
  </w:style>
  <w:style w:type="paragraph" w:styleId="Index6">
    <w:name w:val="Index 6"/>
    <w:basedOn w:val="Normal"/>
    <w:next w:val="Normal"/>
    <w:qFormat/>
    <w:pPr>
      <w:ind w:hanging="240" w:start="1440" w:end="0"/>
      <w:jc w:val="start"/>
    </w:pPr>
    <w:rPr/>
  </w:style>
  <w:style w:type="paragraph" w:styleId="Index7">
    <w:name w:val="Index 7"/>
    <w:basedOn w:val="Normal"/>
    <w:next w:val="Normal"/>
    <w:qFormat/>
    <w:pPr>
      <w:ind w:hanging="240" w:start="1680" w:end="0"/>
      <w:jc w:val="start"/>
    </w:pPr>
    <w:rPr/>
  </w:style>
  <w:style w:type="paragraph" w:styleId="Index8">
    <w:name w:val="Index 8"/>
    <w:basedOn w:val="Normal"/>
    <w:next w:val="Normal"/>
    <w:qFormat/>
    <w:pPr>
      <w:ind w:hanging="240" w:start="1920" w:end="0"/>
      <w:jc w:val="start"/>
    </w:pPr>
    <w:rPr/>
  </w:style>
  <w:style w:type="paragraph" w:styleId="Index9">
    <w:name w:val="Index 9"/>
    <w:basedOn w:val="Normal"/>
    <w:next w:val="Normal"/>
    <w:qFormat/>
    <w:pPr>
      <w:ind w:hanging="240" w:start="2160" w:end="0"/>
      <w:jc w:val="start"/>
    </w:pPr>
    <w:rPr/>
  </w:style>
  <w:style w:type="paragraph" w:styleId="TOC1">
    <w:name w:val="TOC 1"/>
    <w:basedOn w:val="Normal"/>
    <w:next w:val="Normal"/>
    <w:pPr>
      <w:spacing w:before="0" w:after="100"/>
      <w:ind w:hanging="0" w:start="0" w:end="0"/>
      <w:jc w:val="start"/>
    </w:pPr>
    <w:rPr/>
  </w:style>
  <w:style w:type="paragraph" w:styleId="TOC2">
    <w:name w:val="TOC 2"/>
    <w:basedOn w:val="Normal"/>
    <w:next w:val="Normal"/>
    <w:pPr>
      <w:spacing w:before="0" w:after="100"/>
      <w:ind w:hanging="0" w:start="240" w:end="0"/>
      <w:jc w:val="start"/>
    </w:pPr>
    <w:rPr/>
  </w:style>
  <w:style w:type="paragraph" w:styleId="TOC3">
    <w:name w:val="TOC 3"/>
    <w:basedOn w:val="Normal"/>
    <w:next w:val="Normal"/>
    <w:pPr>
      <w:spacing w:before="0" w:after="100"/>
      <w:ind w:hanging="0" w:start="480" w:end="0"/>
      <w:jc w:val="start"/>
    </w:pPr>
    <w:rPr/>
  </w:style>
  <w:style w:type="paragraph" w:styleId="TOC4">
    <w:name w:val="TOC 4"/>
    <w:basedOn w:val="Normal"/>
    <w:next w:val="Normal"/>
    <w:pPr>
      <w:spacing w:before="0" w:after="100"/>
      <w:ind w:hanging="0" w:start="720" w:end="0"/>
      <w:jc w:val="start"/>
    </w:pPr>
    <w:rPr/>
  </w:style>
  <w:style w:type="paragraph" w:styleId="TOC5">
    <w:name w:val="TOC 5"/>
    <w:basedOn w:val="Normal"/>
    <w:next w:val="Normal"/>
    <w:pPr>
      <w:spacing w:before="0" w:after="100"/>
      <w:ind w:hanging="0" w:start="960" w:end="0"/>
      <w:jc w:val="start"/>
    </w:pPr>
    <w:rPr/>
  </w:style>
  <w:style w:type="paragraph" w:styleId="TOC6">
    <w:name w:val="TOC 6"/>
    <w:basedOn w:val="Normal"/>
    <w:next w:val="Normal"/>
    <w:pPr>
      <w:spacing w:before="0" w:after="100"/>
      <w:ind w:hanging="0" w:start="1200" w:end="0"/>
      <w:jc w:val="start"/>
    </w:pPr>
    <w:rPr/>
  </w:style>
  <w:style w:type="paragraph" w:styleId="TOC7">
    <w:name w:val="TOC 7"/>
    <w:basedOn w:val="Normal"/>
    <w:next w:val="Normal"/>
    <w:pPr>
      <w:spacing w:before="0" w:after="100"/>
      <w:ind w:hanging="0" w:start="1440" w:end="0"/>
      <w:jc w:val="start"/>
    </w:pPr>
    <w:rPr/>
  </w:style>
  <w:style w:type="paragraph" w:styleId="TOC8">
    <w:name w:val="TOC 8"/>
    <w:basedOn w:val="Normal"/>
    <w:next w:val="Normal"/>
    <w:pPr>
      <w:spacing w:before="0" w:after="100"/>
      <w:ind w:hanging="0" w:start="1680" w:end="0"/>
      <w:jc w:val="start"/>
    </w:pPr>
    <w:rPr/>
  </w:style>
  <w:style w:type="paragraph" w:styleId="TOC9">
    <w:name w:val="TOC 9"/>
    <w:basedOn w:val="Normal"/>
    <w:next w:val="Normal"/>
    <w:pPr>
      <w:spacing w:before="0" w:after="100"/>
      <w:ind w:hanging="0" w:start="1920" w:end="0"/>
      <w:jc w:val="start"/>
    </w:pPr>
    <w:rPr/>
  </w:style>
  <w:style w:type="paragraph" w:styleId="Bibliography">
    <w:name w:val="Bibliography"/>
    <w:basedOn w:val="Normal"/>
    <w:next w:val="Normal"/>
    <w:qFormat/>
    <w:pPr>
      <w:ind w:hanging="0" w:start="0" w:end="0"/>
      <w:jc w:val="start"/>
    </w:pPr>
    <w:rPr/>
  </w:style>
  <w:style w:type="paragraph" w:styleId="Salutation">
    <w:name w:val="Salutation"/>
    <w:basedOn w:val="Normal"/>
    <w:next w:val="Normal"/>
    <w:qFormat/>
    <w:pPr>
      <w:ind w:hanging="0" w:start="0" w:end="0"/>
      <w:jc w:val="start"/>
    </w:pPr>
    <w:rPr/>
  </w:style>
  <w:style w:type="paragraph" w:styleId="BodyText2">
    <w:name w:val="Body Text 2"/>
    <w:basedOn w:val="Normal"/>
    <w:qFormat/>
    <w:pPr>
      <w:spacing w:lineRule="auto" w:line="480" w:before="0" w:after="120"/>
      <w:ind w:hanging="0" w:start="0" w:end="0"/>
      <w:jc w:val="start"/>
    </w:pPr>
    <w:rPr/>
  </w:style>
  <w:style w:type="paragraph" w:styleId="BodyText3">
    <w:name w:val="Body Text 3"/>
    <w:basedOn w:val="Normal"/>
    <w:qFormat/>
    <w:pPr>
      <w:spacing w:before="0" w:after="120"/>
      <w:ind w:hanging="0" w:start="0" w:end="0"/>
      <w:jc w:val="start"/>
    </w:pPr>
    <w:rPr>
      <w:sz w:val="16"/>
      <w:szCs w:val="16"/>
    </w:rPr>
  </w:style>
  <w:style w:type="paragraph" w:styleId="ListContinue">
    <w:name w:val="List Continue"/>
    <w:basedOn w:val="Normal"/>
    <w:qFormat/>
    <w:pPr>
      <w:spacing w:before="0" w:after="120"/>
      <w:ind w:hanging="0" w:start="283" w:end="0"/>
      <w:contextualSpacing/>
      <w:jc w:val="start"/>
    </w:pPr>
    <w:rPr/>
  </w:style>
  <w:style w:type="paragraph" w:styleId="ListContinue2">
    <w:name w:val="List Continue 2"/>
    <w:basedOn w:val="Normal"/>
    <w:qFormat/>
    <w:pPr>
      <w:spacing w:before="0" w:after="120"/>
      <w:ind w:hanging="0" w:start="566" w:end="0"/>
      <w:contextualSpacing/>
      <w:jc w:val="start"/>
    </w:pPr>
    <w:rPr/>
  </w:style>
  <w:style w:type="paragraph" w:styleId="ListContinue3">
    <w:name w:val="List Continue 3"/>
    <w:basedOn w:val="Normal"/>
    <w:qFormat/>
    <w:pPr>
      <w:spacing w:before="0" w:after="120"/>
      <w:ind w:hanging="0" w:start="849" w:end="0"/>
      <w:contextualSpacing/>
      <w:jc w:val="start"/>
    </w:pPr>
    <w:rPr/>
  </w:style>
  <w:style w:type="paragraph" w:styleId="ListContinue4">
    <w:name w:val="List Continue 4"/>
    <w:basedOn w:val="Normal"/>
    <w:qFormat/>
    <w:pPr>
      <w:spacing w:before="0" w:after="120"/>
      <w:ind w:hanging="0" w:start="1132" w:end="0"/>
      <w:contextualSpacing/>
      <w:jc w:val="start"/>
    </w:pPr>
    <w:rPr/>
  </w:style>
  <w:style w:type="paragraph" w:styleId="ListContinue5">
    <w:name w:val="List Continue 5"/>
    <w:basedOn w:val="Normal"/>
    <w:qFormat/>
    <w:pPr>
      <w:spacing w:before="0" w:after="120"/>
      <w:ind w:hanging="0" w:start="1415" w:end="0"/>
      <w:contextualSpacing/>
      <w:jc w:val="start"/>
    </w:pPr>
    <w:rPr/>
  </w:style>
  <w:style w:type="paragraph" w:styleId="Signature">
    <w:name w:val="Signature"/>
    <w:basedOn w:val="Normal"/>
    <w:pPr>
      <w:ind w:hanging="0" w:start="4252" w:end="0"/>
      <w:jc w:val="start"/>
    </w:pPr>
    <w:rPr/>
  </w:style>
  <w:style w:type="paragraph" w:styleId="E-mailSignature">
    <w:name w:val="E-mail Signature"/>
    <w:basedOn w:val="Normal"/>
    <w:qFormat/>
    <w:pPr>
      <w:ind w:hanging="0" w:start="0" w:end="0"/>
      <w:jc w:val="start"/>
    </w:pPr>
    <w:rPr/>
  </w:style>
  <w:style w:type="paragraph" w:styleId="BlockText">
    <w:name w:val="Block Text"/>
    <w:basedOn w:val="Normal"/>
    <w:qFormat/>
    <w:pPr>
      <w:pBdr>
        <w:top w:val="single" w:sz="2" w:space="10" w:color="4F81BD"/>
        <w:left w:val="single" w:sz="2" w:space="10" w:color="4F81BD"/>
        <w:bottom w:val="single" w:sz="2" w:space="10" w:color="4F81BD"/>
        <w:right w:val="single" w:sz="2" w:space="10" w:color="4F81BD"/>
      </w:pBdr>
      <w:ind w:hanging="0" w:start="1152" w:end="1152"/>
      <w:jc w:val="start"/>
    </w:pPr>
    <w:rPr>
      <w:rFonts w:ascii="Calibri" w:hAnsi="Calibri" w:cs="Arial"/>
      <w:i/>
      <w:iCs/>
      <w:color w:val="4F81BD"/>
    </w:rPr>
  </w:style>
  <w:style w:type="paragraph" w:styleId="EndnoteText">
    <w:name w:val="Endnote Text"/>
    <w:basedOn w:val="Normal"/>
    <w:pPr>
      <w:ind w:hanging="0" w:start="0" w:end="0"/>
      <w:jc w:val="start"/>
    </w:pPr>
    <w:rPr>
      <w:sz w:val="20"/>
      <w:szCs w:val="20"/>
    </w:rPr>
  </w:style>
  <w:style w:type="paragraph" w:styleId="FootnoteText">
    <w:name w:val="Footnote Text"/>
    <w:basedOn w:val="Normal"/>
    <w:pPr>
      <w:ind w:hanging="0" w:start="0" w:end="0"/>
      <w:jc w:val="start"/>
    </w:pPr>
    <w:rPr>
      <w:sz w:val="20"/>
      <w:szCs w:val="20"/>
    </w:rPr>
  </w:style>
  <w:style w:type="paragraph" w:styleId="MacroText">
    <w:name w:val="Macro Text"/>
    <w:qFormat/>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1"/>
      <w:ind w:hanging="0" w:start="0" w:end="0"/>
      <w:jc w:val="start"/>
    </w:pPr>
    <w:rPr>
      <w:rFonts w:ascii="Consolas" w:hAnsi="Consolas" w:eastAsia="Times New Roman" w:cs="David"/>
      <w:color w:val="auto"/>
      <w:sz w:val="20"/>
      <w:szCs w:val="20"/>
      <w:lang w:val="en-US" w:bidi="he-IL" w:eastAsia="zh-CN"/>
    </w:rPr>
  </w:style>
  <w:style w:type="paragraph" w:styleId="PlainText">
    <w:name w:val="Plain Text"/>
    <w:basedOn w:val="Normal"/>
    <w:qFormat/>
    <w:pPr>
      <w:ind w:hanging="0" w:start="0" w:end="0"/>
      <w:jc w:val="start"/>
    </w:pPr>
    <w:rPr>
      <w:rFonts w:ascii="Consolas" w:hAnsi="Consolas" w:cs="Consolas"/>
      <w:sz w:val="21"/>
      <w:szCs w:val="21"/>
    </w:rPr>
  </w:style>
  <w:style w:type="paragraph" w:styleId="IndexHeading">
    <w:name w:val="Index Heading"/>
    <w:basedOn w:val="Normal"/>
    <w:next w:val="Index1"/>
    <w:pPr>
      <w:ind w:hanging="0" w:start="0" w:end="0"/>
      <w:jc w:val="start"/>
    </w:pPr>
    <w:rPr>
      <w:rFonts w:ascii="Cambria" w:hAnsi="Cambria" w:cs="Times New Roman"/>
      <w:b/>
      <w:bCs/>
    </w:rPr>
  </w:style>
  <w:style w:type="paragraph" w:styleId="NoteHeading">
    <w:name w:val="Note Heading"/>
    <w:basedOn w:val="Normal"/>
    <w:next w:val="Normal"/>
    <w:qFormat/>
    <w:pPr>
      <w:ind w:hanging="0" w:start="0" w:end="0"/>
      <w:jc w:val="start"/>
    </w:pPr>
    <w:rPr/>
  </w:style>
  <w:style w:type="paragraph" w:styleId="Subtitle">
    <w:name w:val="Subtitle"/>
    <w:basedOn w:val="Normal"/>
    <w:next w:val="Normal"/>
    <w:qFormat/>
    <w:pPr>
      <w:numPr>
        <w:ilvl w:val="0"/>
        <w:numId w:val="0"/>
      </w:numPr>
      <w:spacing w:before="0" w:after="160"/>
      <w:ind w:hanging="0" w:start="0" w:end="0"/>
      <w:jc w:val="start"/>
    </w:pPr>
    <w:rPr>
      <w:rFonts w:ascii="Calibri" w:hAnsi="Calibri" w:cs="Arial"/>
      <w:color w:val="5A5A5A"/>
      <w:spacing w:val="15"/>
      <w:sz w:val="22"/>
      <w:szCs w:val="22"/>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jc w:val="start"/>
    </w:pPr>
    <w:rPr>
      <w:rFonts w:ascii="Cambria" w:hAnsi="Cambria" w:cs="Times New Roman"/>
    </w:rPr>
  </w:style>
  <w:style w:type="paragraph" w:styleId="TOAHeading">
    <w:name w:val="TOA Heading"/>
    <w:basedOn w:val="Normal"/>
    <w:next w:val="Normal"/>
    <w:qFormat/>
    <w:pPr>
      <w:spacing w:before="120" w:after="0"/>
      <w:ind w:hanging="0" w:start="0" w:end="0"/>
      <w:jc w:val="start"/>
    </w:pPr>
    <w:rPr>
      <w:rFonts w:ascii="Cambria" w:hAnsi="Cambria" w:cs="Times New Roman"/>
      <w:b/>
      <w:bCs/>
    </w:rPr>
  </w:style>
  <w:style w:type="paragraph" w:styleId="TOCHeading">
    <w:name w:val="TOC Heading"/>
    <w:basedOn w:val="Heading1"/>
    <w:next w:val="Normal"/>
    <w:qFormat/>
    <w:pPr>
      <w:numPr>
        <w:ilvl w:val="0"/>
        <w:numId w:val="0"/>
      </w:numPr>
      <w:ind w:hanging="0" w:start="0" w:end="0"/>
      <w:jc w:val="start"/>
      <w:outlineLvl w:val="9"/>
    </w:pPr>
    <w:rPr/>
  </w:style>
  <w:style w:type="paragraph" w:styleId="BodyTextIndent">
    <w:name w:val="Body Text Indent"/>
    <w:basedOn w:val="Normal"/>
    <w:pPr>
      <w:spacing w:before="0" w:after="120"/>
      <w:ind w:hanging="0" w:start="283" w:end="0"/>
      <w:jc w:val="start"/>
    </w:pPr>
    <w:rPr/>
  </w:style>
  <w:style w:type="paragraph" w:styleId="BodyTextIndent2">
    <w:name w:val="Body Text Indent 2"/>
    <w:basedOn w:val="Normal"/>
    <w:qFormat/>
    <w:pPr>
      <w:spacing w:lineRule="auto" w:line="480" w:before="0" w:after="120"/>
      <w:ind w:hanging="0" w:start="283" w:end="0"/>
      <w:jc w:val="start"/>
    </w:pPr>
    <w:rPr/>
  </w:style>
  <w:style w:type="paragraph" w:styleId="BodyTextIndent3">
    <w:name w:val="Body Text Indent 3"/>
    <w:basedOn w:val="Normal"/>
    <w:qFormat/>
    <w:pPr>
      <w:spacing w:before="0" w:after="120"/>
      <w:ind w:hanging="0" w:start="283" w:end="0"/>
      <w:jc w:val="start"/>
    </w:pPr>
    <w:rPr>
      <w:sz w:val="16"/>
      <w:szCs w:val="16"/>
    </w:rPr>
  </w:style>
  <w:style w:type="paragraph" w:styleId="NormalIndent">
    <w:name w:val="Normal Indent"/>
    <w:basedOn w:val="Normal"/>
    <w:qFormat/>
    <w:pPr>
      <w:ind w:hanging="0" w:start="720" w:end="0"/>
      <w:jc w:val="start"/>
    </w:pPr>
    <w:rPr/>
  </w:style>
  <w:style w:type="paragraph" w:styleId="BodyTextFirstIndent">
    <w:name w:val="Body Text First Indent"/>
    <w:basedOn w:val="BodyText"/>
    <w:qFormat/>
    <w:pPr>
      <w:spacing w:before="0" w:after="0"/>
      <w:ind w:firstLine="360" w:start="0" w:end="0"/>
      <w:jc w:val="start"/>
    </w:pPr>
    <w:rPr/>
  </w:style>
  <w:style w:type="paragraph" w:styleId="BodyTextFirstIndent2">
    <w:name w:val="Body Text First Indent 2"/>
    <w:basedOn w:val="BodyTextIndent"/>
    <w:qFormat/>
    <w:pPr>
      <w:spacing w:before="0" w:after="0"/>
      <w:ind w:firstLine="360" w:start="360" w:end="0"/>
      <w:jc w:val="start"/>
    </w:pPr>
    <w:rPr/>
  </w:style>
  <w:style w:type="paragraph" w:styleId="HTMLAddress">
    <w:name w:val="HTML Address"/>
    <w:basedOn w:val="Normal"/>
    <w:qFormat/>
    <w:pPr>
      <w:ind w:hanging="0" w:start="0" w:end="0"/>
      <w:jc w:val="start"/>
    </w:pPr>
    <w:rPr>
      <w:i/>
      <w:iCs/>
    </w:rPr>
  </w:style>
  <w:style w:type="paragraph" w:styleId="EnvelopeAddress">
    <w:name w:val="Envelope Address"/>
    <w:basedOn w:val="Normal"/>
    <w:pPr>
      <w:ind w:hanging="0" w:start="2880" w:end="0"/>
      <w:jc w:val="start"/>
    </w:pPr>
    <w:rPr>
      <w:rFonts w:ascii="Cambria" w:hAnsi="Cambria" w:cs="Times New Roman"/>
    </w:rPr>
  </w:style>
  <w:style w:type="paragraph" w:styleId="EnvelopeReturn">
    <w:name w:val="Envelope Return"/>
    <w:basedOn w:val="Normal"/>
    <w:pPr>
      <w:ind w:hanging="0" w:start="0" w:end="0"/>
      <w:jc w:val="start"/>
    </w:pPr>
    <w:rPr>
      <w:rFonts w:ascii="Cambria" w:hAnsi="Cambria" w:cs="Times New Roman"/>
      <w:sz w:val="20"/>
      <w:szCs w:val="20"/>
    </w:rPr>
  </w:style>
  <w:style w:type="paragraph" w:styleId="NoSpacing">
    <w:name w:val="No Spacing"/>
    <w:qFormat/>
    <w:pPr>
      <w:widowControl/>
      <w:bidi w:val="1"/>
      <w:ind w:hanging="0" w:start="0" w:end="0"/>
      <w:jc w:val="start"/>
    </w:pPr>
    <w:rPr>
      <w:rFonts w:ascii="Times New Roman" w:hAnsi="Times New Roman" w:eastAsia="Times New Roman" w:cs="David"/>
      <w:color w:val="auto"/>
      <w:sz w:val="24"/>
      <w:szCs w:val="24"/>
      <w:lang w:val="en-US" w:bidi="he-IL" w:eastAsia="zh-CN"/>
    </w:rPr>
  </w:style>
  <w:style w:type="paragraph" w:styleId="DocumentMap">
    <w:name w:val="Document Map"/>
    <w:basedOn w:val="Normal"/>
    <w:qFormat/>
    <w:pPr>
      <w:ind w:hanging="0" w:start="0" w:end="0"/>
      <w:jc w:val="start"/>
    </w:pPr>
    <w:rPr>
      <w:rFonts w:ascii="Tahoma" w:hAnsi="Tahoma" w:cs="Tahoma"/>
      <w:sz w:val="16"/>
      <w:szCs w:val="16"/>
    </w:rPr>
  </w:style>
  <w:style w:type="paragraph" w:styleId="Closing">
    <w:name w:val="Closing"/>
    <w:basedOn w:val="Normal"/>
    <w:qFormat/>
    <w:pPr>
      <w:ind w:hanging="0" w:start="4252" w:end="0"/>
      <w:jc w:val="start"/>
    </w:pPr>
    <w:rPr/>
  </w:style>
  <w:style w:type="paragraph" w:styleId="Quote">
    <w:name w:val="Quote"/>
    <w:basedOn w:val="Normal"/>
    <w:next w:val="Normal"/>
    <w:qFormat/>
    <w:pPr>
      <w:spacing w:before="200" w:after="160"/>
      <w:ind w:hanging="0" w:start="864" w:end="864"/>
      <w:jc w:val="center"/>
    </w:pPr>
    <w:rPr>
      <w:i/>
      <w:iCs/>
      <w:color w:val="404040"/>
    </w:rPr>
  </w:style>
  <w:style w:type="paragraph" w:styleId="IntenseQuote">
    <w:name w:val="Intense Quote"/>
    <w:basedOn w:val="Normal"/>
    <w:next w:val="Normal"/>
    <w:qFormat/>
    <w:pPr>
      <w:pBdr>
        <w:top w:val="single" w:sz="4" w:space="10" w:color="4F81BD"/>
        <w:bottom w:val="single" w:sz="4" w:space="10" w:color="4F81BD"/>
      </w:pBdr>
      <w:spacing w:before="360" w:after="360"/>
      <w:ind w:hanging="0" w:start="864" w:end="864"/>
      <w:jc w:val="center"/>
    </w:pPr>
    <w:rPr>
      <w:i/>
      <w:iCs/>
      <w:color w:val="4F81BD"/>
    </w:rPr>
  </w:style>
  <w:style w:type="paragraph" w:styleId="ListBullet2">
    <w:name w:val="List Bullet 2"/>
    <w:basedOn w:val="Normal"/>
    <w:pPr>
      <w:spacing w:before="0" w:after="0"/>
      <w:ind w:hanging="283" w:start="566" w:end="0"/>
      <w:contextualSpacing/>
      <w:jc w:val="start"/>
    </w:pPr>
    <w:rPr/>
  </w:style>
  <w:style w:type="paragraph" w:styleId="ListBullet3">
    <w:name w:val="List Bullet 3"/>
    <w:basedOn w:val="Normal"/>
    <w:pPr>
      <w:spacing w:before="0" w:after="0"/>
      <w:ind w:hanging="283" w:start="849" w:end="0"/>
      <w:contextualSpacing/>
      <w:jc w:val="start"/>
    </w:pPr>
    <w:rPr/>
  </w:style>
  <w:style w:type="paragraph" w:styleId="ListBullet4">
    <w:name w:val="List Bullet 4"/>
    <w:basedOn w:val="Normal"/>
    <w:pPr>
      <w:spacing w:before="0" w:after="0"/>
      <w:ind w:hanging="283" w:start="1132" w:end="0"/>
      <w:contextualSpacing/>
      <w:jc w:val="start"/>
    </w:pPr>
    <w:rPr/>
  </w:style>
  <w:style w:type="paragraph" w:styleId="ListBullet5">
    <w:name w:val="List Bullet 5"/>
    <w:basedOn w:val="Normal"/>
    <w:pPr>
      <w:spacing w:before="0" w:after="0"/>
      <w:ind w:hanging="283" w:start="1415" w:end="0"/>
      <w:contextualSpacing/>
      <w:jc w:val="start"/>
    </w:pPr>
    <w:rPr/>
  </w:style>
  <w:style w:type="paragraph" w:styleId="ListNumber">
    <w:name w:val="List Number"/>
    <w:basedOn w:val="Normal"/>
    <w:qFormat/>
    <w:pPr>
      <w:numPr>
        <w:ilvl w:val="0"/>
        <w:numId w:val="10"/>
      </w:numPr>
      <w:spacing w:before="0" w:after="0"/>
      <w:ind w:hanging="0" w:start="360" w:end="0"/>
      <w:contextualSpacing/>
      <w:jc w:val="start"/>
    </w:pPr>
    <w:rPr/>
  </w:style>
  <w:style w:type="paragraph" w:styleId="ListNumber2">
    <w:name w:val="List Number 2"/>
    <w:basedOn w:val="Normal"/>
    <w:qFormat/>
    <w:pPr>
      <w:numPr>
        <w:ilvl w:val="0"/>
        <w:numId w:val="5"/>
      </w:numPr>
      <w:spacing w:before="0" w:after="0"/>
      <w:ind w:hanging="0" w:start="643" w:end="0"/>
      <w:contextualSpacing/>
      <w:jc w:val="start"/>
    </w:pPr>
    <w:rPr/>
  </w:style>
  <w:style w:type="paragraph" w:styleId="ListNumber3">
    <w:name w:val="List Number 3"/>
    <w:basedOn w:val="Normal"/>
    <w:qFormat/>
    <w:pPr>
      <w:numPr>
        <w:ilvl w:val="0"/>
        <w:numId w:val="4"/>
      </w:numPr>
      <w:spacing w:before="0" w:after="0"/>
      <w:ind w:hanging="0" w:start="926" w:end="0"/>
      <w:contextualSpacing/>
      <w:jc w:val="start"/>
    </w:pPr>
    <w:rPr/>
  </w:style>
  <w:style w:type="paragraph" w:styleId="ListNumber4">
    <w:name w:val="List Number 4"/>
    <w:basedOn w:val="Normal"/>
    <w:qFormat/>
    <w:pPr>
      <w:numPr>
        <w:ilvl w:val="0"/>
        <w:numId w:val="3"/>
      </w:numPr>
      <w:spacing w:before="0" w:after="0"/>
      <w:ind w:hanging="0" w:start="1209" w:end="0"/>
      <w:contextualSpacing/>
      <w:jc w:val="start"/>
    </w:pPr>
    <w:rPr/>
  </w:style>
  <w:style w:type="paragraph" w:styleId="ListNumber5">
    <w:name w:val="List Number 5"/>
    <w:basedOn w:val="Normal"/>
    <w:qFormat/>
    <w:pPr>
      <w:numPr>
        <w:ilvl w:val="0"/>
        <w:numId w:val="2"/>
      </w:numPr>
      <w:spacing w:before="0" w:after="0"/>
      <w:ind w:hanging="0" w:start="1492" w:end="0"/>
      <w:contextualSpacing/>
      <w:jc w:val="start"/>
    </w:pPr>
    <w:rPr/>
  </w:style>
  <w:style w:type="paragraph" w:styleId="ListBullet">
    <w:name w:val="List Bullet"/>
    <w:basedOn w:val="Normal"/>
    <w:qFormat/>
    <w:pPr>
      <w:numPr>
        <w:ilvl w:val="0"/>
        <w:numId w:val="11"/>
      </w:numPr>
      <w:spacing w:before="0" w:after="0"/>
      <w:ind w:hanging="0" w:start="360" w:end="0"/>
      <w:contextualSpacing/>
      <w:jc w:val="start"/>
    </w:pPr>
    <w:rPr/>
  </w:style>
  <w:style w:type="paragraph" w:styleId="ListBullet21">
    <w:name w:val="List Bullet 21"/>
    <w:basedOn w:val="Normal"/>
    <w:qFormat/>
    <w:pPr>
      <w:numPr>
        <w:ilvl w:val="0"/>
        <w:numId w:val="9"/>
      </w:numPr>
      <w:spacing w:before="0" w:after="0"/>
      <w:ind w:hanging="0" w:start="643" w:end="0"/>
      <w:contextualSpacing/>
      <w:jc w:val="start"/>
    </w:pPr>
    <w:rPr/>
  </w:style>
  <w:style w:type="paragraph" w:styleId="ListBullet31">
    <w:name w:val="List Bullet 31"/>
    <w:basedOn w:val="Normal"/>
    <w:qFormat/>
    <w:pPr>
      <w:numPr>
        <w:ilvl w:val="0"/>
        <w:numId w:val="8"/>
      </w:numPr>
      <w:spacing w:before="0" w:after="0"/>
      <w:ind w:hanging="0" w:start="926" w:end="0"/>
      <w:contextualSpacing/>
      <w:jc w:val="start"/>
    </w:pPr>
    <w:rPr/>
  </w:style>
  <w:style w:type="paragraph" w:styleId="ListBullet41">
    <w:name w:val="List Bullet 41"/>
    <w:basedOn w:val="Normal"/>
    <w:qFormat/>
    <w:pPr>
      <w:numPr>
        <w:ilvl w:val="0"/>
        <w:numId w:val="7"/>
      </w:numPr>
      <w:spacing w:before="0" w:after="0"/>
      <w:ind w:hanging="0" w:start="1209" w:end="0"/>
      <w:contextualSpacing/>
      <w:jc w:val="start"/>
    </w:pPr>
    <w:rPr/>
  </w:style>
  <w:style w:type="paragraph" w:styleId="ListBullet51">
    <w:name w:val="List Bullet 51"/>
    <w:basedOn w:val="Normal"/>
    <w:qFormat/>
    <w:pPr>
      <w:numPr>
        <w:ilvl w:val="0"/>
        <w:numId w:val="6"/>
      </w:numPr>
      <w:spacing w:before="0" w:after="0"/>
      <w:ind w:hanging="0" w:start="1492" w:end="0"/>
      <w:contextualSpacing/>
      <w:jc w:val="start"/>
    </w:pPr>
    <w:rPr/>
  </w:style>
  <w:style w:type="paragraph" w:styleId="TableofFigures">
    <w:name w:val="Table of Figures"/>
    <w:basedOn w:val="Normal"/>
    <w:next w:val="Normal"/>
    <w:qFormat/>
    <w:pPr>
      <w:ind w:hanging="0" w:start="0" w:end="0"/>
      <w:jc w:val="start"/>
    </w:pPr>
    <w:rPr/>
  </w:style>
  <w:style w:type="paragraph" w:styleId="TableofAuthorities">
    <w:name w:val="Table of Authorities"/>
    <w:basedOn w:val="Normal"/>
    <w:next w:val="Normal"/>
    <w:qFormat/>
    <w:pPr>
      <w:ind w:hanging="240" w:start="240" w:end="0"/>
      <w:jc w:val="start"/>
    </w:pPr>
    <w:rPr/>
  </w:style>
  <w:style w:type="paragraph" w:styleId="Date">
    <w:name w:val="Date"/>
    <w:basedOn w:val="Normal"/>
    <w:next w:val="Normal"/>
    <w:qFormat/>
    <w:pPr>
      <w:ind w:hanging="0" w:start="0" w:end="0"/>
      <w:jc w:val="start"/>
    </w:pPr>
    <w:rPr/>
  </w:style>
  <w:style w:type="paragraph" w:styleId="listparagraph1">
    <w:name w:val="listparagraph"/>
    <w:basedOn w:val="Normal"/>
    <w:qFormat/>
    <w:pPr>
      <w:bidi w:val="0"/>
      <w:spacing w:before="280" w:after="280"/>
      <w:jc w:val="start"/>
    </w:pPr>
    <w:rPr>
      <w:rFonts w:cs="Times New Roman"/>
    </w:rPr>
  </w:style>
  <w:style w:type="paragraph" w:styleId="Style7">
    <w:name w:val="סעיף ראשי"/>
    <w:basedOn w:val="Normal"/>
    <w:qFormat/>
    <w:pPr>
      <w:numPr>
        <w:ilvl w:val="0"/>
        <w:numId w:val="13"/>
      </w:numPr>
      <w:spacing w:lineRule="auto" w:line="360" w:before="0" w:after="120"/>
      <w:ind w:hanging="0" w:start="360" w:end="-142"/>
      <w:contextualSpacing/>
      <w:jc w:val="both"/>
    </w:pPr>
    <w:rPr>
      <w:rFonts w:ascii="Calibri" w:hAnsi="Calibri" w:cs="Calibri"/>
    </w:rPr>
  </w:style>
  <w:style w:type="paragraph" w:styleId="Style8">
    <w:name w:val="סעיף משנה"/>
    <w:basedOn w:val="ListParagraph"/>
    <w:qFormat/>
    <w:pPr>
      <w:numPr>
        <w:ilvl w:val="0"/>
        <w:numId w:val="13"/>
      </w:numPr>
      <w:spacing w:lineRule="auto" w:line="360" w:before="0" w:after="120"/>
      <w:ind w:hanging="0" w:start="792" w:end="-142"/>
      <w:contextualSpacing/>
      <w:jc w:val="both"/>
    </w:pPr>
    <w:rPr>
      <w:rFonts w:cs="David"/>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nevo.co.il/law/91073" TargetMode="External"/><Relationship Id="rId3" Type="http://schemas.openxmlformats.org/officeDocument/2006/relationships/hyperlink" Target="http://www.nevo.co.il/law/71780" TargetMode="External"/><Relationship Id="rId4" Type="http://schemas.openxmlformats.org/officeDocument/2006/relationships/hyperlink" Target="http://www.nevo.co.il/law/72866" TargetMode="External"/><Relationship Id="rId5" Type="http://schemas.openxmlformats.org/officeDocument/2006/relationships/hyperlink" Target="http://www.nevo.co.il/law/91073" TargetMode="External"/><Relationship Id="rId6" Type="http://schemas.openxmlformats.org/officeDocument/2006/relationships/hyperlink" Target="http://www.nevo.co.il/law/91073"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yperlink" Target="http://www.nevo.co.il/law/91073/3T19.b.9" TargetMode="External"/><Relationship Id="rId10" Type="http://schemas.openxmlformats.org/officeDocument/2006/relationships/hyperlink" Target="http://www.nevo.co.il/law/91073" TargetMode="External"/><Relationship Id="rId11" Type="http://schemas.openxmlformats.org/officeDocument/2006/relationships/hyperlink" Target="http://www.nevo.co.il/case/33072167" TargetMode="External"/><Relationship Id="rId12" Type="http://schemas.openxmlformats.org/officeDocument/2006/relationships/hyperlink" Target="http://www.nevo.co.il/case/34985014" TargetMode="External"/><Relationship Id="rId13" Type="http://schemas.openxmlformats.org/officeDocument/2006/relationships/hyperlink" Target="http://www.nevo.co.il/case/28199771" TargetMode="External"/><Relationship Id="rId14" Type="http://schemas.openxmlformats.org/officeDocument/2006/relationships/hyperlink" Target="http://www.nevo.co.il/case/36732246" TargetMode="External"/><Relationship Id="rId15" Type="http://schemas.openxmlformats.org/officeDocument/2006/relationships/hyperlink" Target="http://www.nevo.co.il/law/71780" TargetMode="External"/><Relationship Id="rId16" Type="http://schemas.openxmlformats.org/officeDocument/2006/relationships/hyperlink" Target="http://www.nevo.co.il/case/36795299" TargetMode="External"/><Relationship Id="rId17" Type="http://schemas.openxmlformats.org/officeDocument/2006/relationships/hyperlink" Target="http://www.nevo.co.il/case/36867807" TargetMode="External"/><Relationship Id="rId18" Type="http://schemas.openxmlformats.org/officeDocument/2006/relationships/hyperlink" Target="http://www.nevo.co.il/case/36022387" TargetMode="External"/><Relationship Id="rId19" Type="http://schemas.openxmlformats.org/officeDocument/2006/relationships/hyperlink" Target="http://www.nevo.co.il/case/34985014" TargetMode="External"/><Relationship Id="rId20" Type="http://schemas.openxmlformats.org/officeDocument/2006/relationships/hyperlink" Target="http://www.nevo.co.il/law/72866/049k" TargetMode="External"/><Relationship Id="rId21" Type="http://schemas.openxmlformats.org/officeDocument/2006/relationships/hyperlink" Target="http://www.nevo.co.il/law/72866" TargetMode="External"/><Relationship Id="rId22" Type="http://schemas.openxmlformats.org/officeDocument/2006/relationships/hyperlink" Target="http://www.nevo.co.il/law/72866/049k" TargetMode="External"/><Relationship Id="rId23" Type="http://schemas.openxmlformats.org/officeDocument/2006/relationships/hyperlink" Target="http://www.nevo.co.il/law/72866/019.3a" TargetMode="External"/><Relationship Id="rId24" Type="http://schemas.openxmlformats.org/officeDocument/2006/relationships/hyperlink" Target="http://www.nevo.co.il/law/72866" TargetMode="External"/><Relationship Id="rId25" Type="http://schemas.openxmlformats.org/officeDocument/2006/relationships/hyperlink" Target="http://www.nevo.co.il/law/72866/049k" TargetMode="External"/><Relationship Id="rId26" Type="http://schemas.openxmlformats.org/officeDocument/2006/relationships/hyperlink" Target="http://www.nevo.co.il/case/21915121" TargetMode="External"/><Relationship Id="rId27" Type="http://schemas.openxmlformats.org/officeDocument/2006/relationships/hyperlink" Target="http://www.nevo.co.il/case/7012229" TargetMode="External"/><Relationship Id="rId28" Type="http://schemas.openxmlformats.org/officeDocument/2006/relationships/hyperlink" Target="http://www.nevo.co.il/law/91073/3T19.b.9" TargetMode="External"/><Relationship Id="rId29" Type="http://schemas.openxmlformats.org/officeDocument/2006/relationships/hyperlink" Target="http://www.nevo.co.il/law/91073" TargetMode="External"/><Relationship Id="rId30" Type="http://schemas.openxmlformats.org/officeDocument/2006/relationships/hyperlink" Target="http://www.nevo.co.il/advertisements/nevo-100.doc" TargetMode="Externa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1.jpeg"/>
</Relationships>
</file>

<file path=word/_rels/footer2.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2026-10-06T07:25:00Z</dcterms:created>
  <dc:creator> </dc:creator>
  <dc:description/>
  <cp:keywords/>
  <dc:language>en-US</dc:language>
  <cp:lastModifiedBy>h3</cp:lastModifiedBy>
  <cp:lastPrinted>2026-09-14T21:08:00Z</cp:lastPrinted>
  <dcterms:modified xsi:type="dcterms:W3CDTF">2026-10-06T07:25:00Z</dcterms:modified>
  <cp:revision>2</cp:revision>
  <dc:subject> </dc:subject>
  <dc:title>nevo.co.il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LLANT">
    <vt:lpwstr>י.ח. דמרי בניה ופיתוח בע״מ ואח׳;הוועדה המקומית לתכנון ובנייה נתניה</vt:lpwstr>
  </property>
  <property fmtid="{D5CDD505-2E9C-101B-9397-08002B2CF9AE}" pid="3" name="APPELLANT1">
    <vt:lpwstr> </vt:lpwstr>
  </property>
  <property fmtid="{D5CDD505-2E9C-101B-9397-08002B2CF9AE}" pid="4" name="APPELLANT2">
    <vt:lpwstr> </vt:lpwstr>
  </property>
  <property fmtid="{D5CDD505-2E9C-101B-9397-08002B2CF9AE}" pid="5" name="APPELLEE">
    <vt:lpwstr>הוועדה המקומית לתכנון ובנייה נתניה;י.ח. דמרי בניה ופיתוח בע״מ ואח׳</vt:lpwstr>
  </property>
  <property fmtid="{D5CDD505-2E9C-101B-9397-08002B2CF9AE}" pid="6" name="APPELLEE1">
    <vt:lpwstr> </vt:lpwstr>
  </property>
  <property fmtid="{D5CDD505-2E9C-101B-9397-08002B2CF9AE}" pid="7" name="APPELLEE2">
    <vt:lpwstr> </vt:lpwstr>
  </property>
  <property fmtid="{D5CDD505-2E9C-101B-9397-08002B2CF9AE}" pid="8" name="CASENOTES1">
    <vt:lpwstr>ProcID=147&amp;PartA=8069-74&amp;PartC=25</vt:lpwstr>
  </property>
  <property fmtid="{D5CDD505-2E9C-101B-9397-08002B2CF9AE}" pid="9" name="CASENOTES2">
    <vt:lpwstr>ProcID=147&amp;PartA=8059-64&amp;PartC=25</vt:lpwstr>
  </property>
  <property fmtid="{D5CDD505-2E9C-101B-9397-08002B2CF9AE}" pid="10" name="CASENOTES3">
    <vt:lpwstr>ProcID=147&amp;PartA=8069&amp;PartC=74</vt:lpwstr>
  </property>
  <property fmtid="{D5CDD505-2E9C-101B-9397-08002B2CF9AE}" pid="11" name="CASENOTES4">
    <vt:lpwstr>ProcID=147&amp;PartA=8059&amp;PartC=64</vt:lpwstr>
  </property>
  <property fmtid="{D5CDD505-2E9C-101B-9397-08002B2CF9AE}" pid="12" name="CASENOTES5">
    <vt:lpwstr>ProcID=213&amp;PartA=30&amp;PartC=25</vt:lpwstr>
  </property>
  <property fmtid="{D5CDD505-2E9C-101B-9397-08002B2CF9AE}" pid="13" name="CASENOTES6">
    <vt:lpwstr>ProcID=213&amp;PartA=408&amp;PartC=05</vt:lpwstr>
  </property>
  <property fmtid="{D5CDD505-2E9C-101B-9397-08002B2CF9AE}" pid="14" name="CASESLISTTMP1">
    <vt:lpwstr>33072167;34985014:2;28199771;36732246;36795299;36867807;36022387;21915121;7012229</vt:lpwstr>
  </property>
  <property fmtid="{D5CDD505-2E9C-101B-9397-08002B2CF9AE}" pid="15" name="CITY">
    <vt:lpwstr>מרכז</vt:lpwstr>
  </property>
  <property fmtid="{D5CDD505-2E9C-101B-9397-08002B2CF9AE}" pid="16" name="DELEMATA">
    <vt:lpwstr> </vt:lpwstr>
  </property>
  <property fmtid="{D5CDD505-2E9C-101B-9397-08002B2CF9AE}" pid="17" name="GUSHSUB1">
    <vt:lpwstr>7944</vt:lpwstr>
  </property>
  <property fmtid="{D5CDD505-2E9C-101B-9397-08002B2CF9AE}" pid="18" name="GUSHSUB2">
    <vt:lpwstr>7928</vt:lpwstr>
  </property>
  <property fmtid="{D5CDD505-2E9C-101B-9397-08002B2CF9AE}" pid="19" name="GUSHSUB3">
    <vt:lpwstr>7960</vt:lpwstr>
  </property>
  <property fmtid="{D5CDD505-2E9C-101B-9397-08002B2CF9AE}" pid="20" name="HELKASUB1">
    <vt:lpwstr>30;25;26;27;28;29</vt:lpwstr>
  </property>
  <property fmtid="{D5CDD505-2E9C-101B-9397-08002B2CF9AE}" pid="21" name="HELKASUB2">
    <vt:lpwstr>22</vt:lpwstr>
  </property>
  <property fmtid="{D5CDD505-2E9C-101B-9397-08002B2CF9AE}" pid="22" name="HELKASUB3">
    <vt:lpwstr>22</vt:lpwstr>
  </property>
  <property fmtid="{D5CDD505-2E9C-101B-9397-08002B2CF9AE}" pid="23" name="ISABSTRACT">
    <vt:lpwstr>Y</vt:lpwstr>
  </property>
  <property fmtid="{D5CDD505-2E9C-101B-9397-08002B2CF9AE}" pid="24" name="JUDGE">
    <vt:lpwstr>דביר סגלוביץ׳</vt:lpwstr>
  </property>
  <property fmtid="{D5CDD505-2E9C-101B-9397-08002B2CF9AE}" pid="25" name="LAWLISTTMP1">
    <vt:lpwstr>91073/3T19.b.9:2</vt:lpwstr>
  </property>
  <property fmtid="{D5CDD505-2E9C-101B-9397-08002B2CF9AE}" pid="26" name="LAWLISTTMP2">
    <vt:lpwstr>71780</vt:lpwstr>
  </property>
  <property fmtid="{D5CDD505-2E9C-101B-9397-08002B2CF9AE}" pid="27" name="LAWLISTTMP3">
    <vt:lpwstr>72866/019.3a;049k:3</vt:lpwstr>
  </property>
  <property fmtid="{D5CDD505-2E9C-101B-9397-08002B2CF9AE}" pid="28" name="LAWYER">
    <vt:lpwstr>בנימין זלמנוביץ;רינת טוב כהן</vt:lpwstr>
  </property>
  <property fmtid="{D5CDD505-2E9C-101B-9397-08002B2CF9AE}" pid="29" name="LINKK1">
    <vt:lpwstr> </vt:lpwstr>
  </property>
  <property fmtid="{D5CDD505-2E9C-101B-9397-08002B2CF9AE}" pid="30" name="LINKK2">
    <vt:lpwstr> </vt:lpwstr>
  </property>
  <property fmtid="{D5CDD505-2E9C-101B-9397-08002B2CF9AE}" pid="31" name="LINKK3">
    <vt:lpwstr> </vt:lpwstr>
  </property>
  <property fmtid="{D5CDD505-2E9C-101B-9397-08002B2CF9AE}" pid="32" name="LINKK4">
    <vt:lpwstr> </vt:lpwstr>
  </property>
  <property fmtid="{D5CDD505-2E9C-101B-9397-08002B2CF9AE}" pid="33" name="LINKK5">
    <vt:lpwstr> </vt:lpwstr>
  </property>
  <property fmtid="{D5CDD505-2E9C-101B-9397-08002B2CF9AE}" pid="34" name="MINIRATZ1">
    <vt:lpwstr>לפנינו עררים על שומות מכריעות שעניינן היטל השבחה החל בקשר למקרקעין הידועים כחלקות 30-25 בגוש 7944, מתחם פינוי ובינוי "נורדאו מקס" בעיר נתניה, עקב אישורה של תוכנית 408-0517458 התחדשות עירונית, נתניה, נת/מק/18/401/ב (2022) (להלן: "המתחם" או "התוכנית").</vt:lpwstr>
  </property>
  <property fmtid="{D5CDD505-2E9C-101B-9397-08002B2CF9AE}" pid="35" name="MINIRATZ10">
    <vt:lpwstr> </vt:lpwstr>
  </property>
  <property fmtid="{D5CDD505-2E9C-101B-9397-08002B2CF9AE}" pid="36" name="MINIRATZ11">
    <vt:lpwstr> </vt:lpwstr>
  </property>
  <property fmtid="{D5CDD505-2E9C-101B-9397-08002B2CF9AE}" pid="37" name="MINIRATZ12">
    <vt:lpwstr> </vt:lpwstr>
  </property>
  <property fmtid="{D5CDD505-2E9C-101B-9397-08002B2CF9AE}" pid="38" name="MINIRATZ13">
    <vt:lpwstr> </vt:lpwstr>
  </property>
  <property fmtid="{D5CDD505-2E9C-101B-9397-08002B2CF9AE}" pid="39" name="MINIRATZ14">
    <vt:lpwstr> </vt:lpwstr>
  </property>
  <property fmtid="{D5CDD505-2E9C-101B-9397-08002B2CF9AE}" pid="40" name="MINIRATZ15">
    <vt:lpwstr> </vt:lpwstr>
  </property>
  <property fmtid="{D5CDD505-2E9C-101B-9397-08002B2CF9AE}" pid="41" name="MINIRATZ16">
    <vt:lpwstr> </vt:lpwstr>
  </property>
  <property fmtid="{D5CDD505-2E9C-101B-9397-08002B2CF9AE}" pid="42" name="MINIRATZ17">
    <vt:lpwstr> </vt:lpwstr>
  </property>
  <property fmtid="{D5CDD505-2E9C-101B-9397-08002B2CF9AE}" pid="43" name="MINIRATZ18">
    <vt:lpwstr> </vt:lpwstr>
  </property>
  <property fmtid="{D5CDD505-2E9C-101B-9397-08002B2CF9AE}" pid="44" name="MINIRATZ19">
    <vt:lpwstr> </vt:lpwstr>
  </property>
  <property fmtid="{D5CDD505-2E9C-101B-9397-08002B2CF9AE}" pid="45" name="MINIRATZ2">
    <vt:lpwstr> </vt:lpwstr>
  </property>
  <property fmtid="{D5CDD505-2E9C-101B-9397-08002B2CF9AE}" pid="46" name="MINIRATZ20">
    <vt:lpwstr> </vt:lpwstr>
  </property>
  <property fmtid="{D5CDD505-2E9C-101B-9397-08002B2CF9AE}" pid="47" name="MINIRATZ3">
    <vt:lpwstr> </vt:lpwstr>
  </property>
  <property fmtid="{D5CDD505-2E9C-101B-9397-08002B2CF9AE}" pid="48" name="MINIRATZ4">
    <vt:lpwstr> </vt:lpwstr>
  </property>
  <property fmtid="{D5CDD505-2E9C-101B-9397-08002B2CF9AE}" pid="49" name="MINIRATZ5">
    <vt:lpwstr> </vt:lpwstr>
  </property>
  <property fmtid="{D5CDD505-2E9C-101B-9397-08002B2CF9AE}" pid="50" name="MINIRATZ6">
    <vt:lpwstr> </vt:lpwstr>
  </property>
  <property fmtid="{D5CDD505-2E9C-101B-9397-08002B2CF9AE}" pid="51" name="MINIRATZ7">
    <vt:lpwstr> </vt:lpwstr>
  </property>
  <property fmtid="{D5CDD505-2E9C-101B-9397-08002B2CF9AE}" pid="52" name="MINIRATZ8">
    <vt:lpwstr> </vt:lpwstr>
  </property>
  <property fmtid="{D5CDD505-2E9C-101B-9397-08002B2CF9AE}" pid="53" name="MINIRATZ9">
    <vt:lpwstr> </vt:lpwstr>
  </property>
  <property fmtid="{D5CDD505-2E9C-101B-9397-08002B2CF9AE}" pid="54" name="NEWPARTA">
    <vt:lpwstr>8059;8060;8061;8062;8063;8064;8069;8070;8071;8072;8073;8074</vt:lpwstr>
  </property>
  <property fmtid="{D5CDD505-2E9C-101B-9397-08002B2CF9AE}" pid="55" name="NEWPARTB">
    <vt:lpwstr>09;09;09;09;09;09;09;09;09;09;09;09</vt:lpwstr>
  </property>
  <property fmtid="{D5CDD505-2E9C-101B-9397-08002B2CF9AE}" pid="56" name="NEWPARTC">
    <vt:lpwstr>25;25;25;25;25;25;25;25;25;25;25;25</vt:lpwstr>
  </property>
  <property fmtid="{D5CDD505-2E9C-101B-9397-08002B2CF9AE}" pid="57" name="NEWPROC">
    <vt:lpwstr>ערר;ערר;ערר;ערר;ערר;ערר;ערר;ערר;ערר;ערר;ערר;ערר</vt:lpwstr>
  </property>
  <property fmtid="{D5CDD505-2E9C-101B-9397-08002B2CF9AE}" pid="58" name="PADIMAIL">
    <vt:lpwstr> </vt:lpwstr>
  </property>
  <property fmtid="{D5CDD505-2E9C-101B-9397-08002B2CF9AE}" pid="59" name="PAGE">
    <vt:lpwstr> </vt:lpwstr>
  </property>
  <property fmtid="{D5CDD505-2E9C-101B-9397-08002B2CF9AE}" pid="60" name="PART">
    <vt:lpwstr> </vt:lpwstr>
  </property>
  <property fmtid="{D5CDD505-2E9C-101B-9397-08002B2CF9AE}" pid="61" name="PROCESS">
    <vt:lpwstr> </vt:lpwstr>
  </property>
  <property fmtid="{D5CDD505-2E9C-101B-9397-08002B2CF9AE}" pid="62" name="PROCNUM">
    <vt:lpwstr> </vt:lpwstr>
  </property>
  <property fmtid="{D5CDD505-2E9C-101B-9397-08002B2CF9AE}" pid="63" name="PROCYEAR">
    <vt:lpwstr> </vt:lpwstr>
  </property>
  <property fmtid="{D5CDD505-2E9C-101B-9397-08002B2CF9AE}" pid="64" name="PSAKDIN">
    <vt:lpwstr>החלטה</vt:lpwstr>
  </property>
  <property fmtid="{D5CDD505-2E9C-101B-9397-08002B2CF9AE}" pid="65" name="THEDATE">
    <vt:lpwstr>20261005</vt:lpwstr>
  </property>
  <property fmtid="{D5CDD505-2E9C-101B-9397-08002B2CF9AE}" pid="66" name="TYPE">
    <vt:lpwstr>E</vt:lpwstr>
  </property>
  <property fmtid="{D5CDD505-2E9C-101B-9397-08002B2CF9AE}" pid="67" name="TYPE_ABS_DATE">
    <vt:lpwstr>300020261005</vt:lpwstr>
  </property>
  <property fmtid="{D5CDD505-2E9C-101B-9397-08002B2CF9AE}" pid="68" name="TYPE_N_DATE">
    <vt:lpwstr>30020261005</vt:lpwstr>
  </property>
  <property fmtid="{D5CDD505-2E9C-101B-9397-08002B2CF9AE}" pid="69" name="VOLUME">
    <vt:lpwstr> </vt:lpwstr>
  </property>
  <property fmtid="{D5CDD505-2E9C-101B-9397-08002B2CF9AE}" pid="70" name="WORDNUMPAGES">
    <vt:lpwstr>31</vt:lpwstr>
  </property>
</Properties>
</file>