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2085"/>
        <w:gridCol w:w="2279.5"/>
        <w:gridCol w:w="2279.5"/>
        <w:tblGridChange w:id="0">
          <w:tblGrid>
            <w:gridCol w:w="2385"/>
            <w:gridCol w:w="2085"/>
            <w:gridCol w:w="2279.5"/>
            <w:gridCol w:w="2279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ТОЧКИ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СТАНДАРТНОГО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НАБОРА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ЕЕ ДЕЙСТВИЕ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ВРЕМЯ МАССАЖА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ВРЕМЯ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ПРОГРЕВАНИЯ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ТОНИЗИРУЮЩАЯ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СЕДАТИВНАЯ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ЛО-ПУНКТ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ПОСОБНИК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ГРУППОВОЙ ЛО-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ПУНКТ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СИГНАЛЬНАЯ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3"/>
                <w:szCs w:val="23"/>
                <w:highlight w:val="white"/>
                <w:rtl w:val="0"/>
              </w:rPr>
              <w:t xml:space="preserve">ПРОТИВОБОЛЕВАЯ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