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Default Extension="png" ContentType="image/png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pgSz w:w="12240" w:h="15840"/>
          <w:pgMar w:top="1440" w:bottom="0" w:left="1440" w:right="1440" w:header="0" w:footer="0"/>
        </w:sectPr>
      </w:pPr>
    </w:p>
    <w:p>
      <w:pPr>
        <w:spacing w:before="48"/>
        <w:ind w:left="50"/>
        <w:jc w:val="both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-1790626</wp:posOffset>
            </wp:positionV>
            <wp:extent cx="481965" cy="10058395"/>
            <wp:wrapNone/>
            <wp:docPr id="1" name="Shape 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965" cy="10058395"/>
                    </a:xfrm>
                    <a:prstGeom prst="rect">
                      <a:avLst/>
                    </a:prstGeom>
                    <a:solidFill>
                      <a:srgbClr val="F6A400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Fonts w:ascii="Arial" w:hAnsi="Arial"/>
          <w:b/>
          <w:sz w:val="36"/>
          <w:szCs w:val="36"/>
        </w:rPr>
        <w:t>NEWS RELEASE</w:t>
      </w:r>
    </w:p>
    <w:p>
      <w:pPr>
        <w:spacing w:before="342" w:lineRule="auto" w:line="304"/>
        <w:ind w:right="306"/>
        <w:jc w:val="both"/>
      </w:pPr>
      <w:r>
        <w:rPr>
          <w:rFonts w:ascii="Arial" w:hAnsi="Arial"/>
          <w:b/>
          <w:spacing w:val="-18"/>
          <w:sz w:val="36"/>
          <w:szCs w:val="36"/>
        </w:rPr>
        <w:t>Ghent Workgroup launches Ghent PDF Output Suite 5.0 </w:t>
      </w:r>
      <w:r>
        <w:rPr>
          <w:rFonts w:ascii="Arial" w:hAnsi="Arial"/>
          <w:b/>
          <w:sz w:val="36"/>
          <w:szCs w:val="36"/>
        </w:rPr>
        <w:t>Conformance Certification worldwide</w:t>
      </w:r>
    </w:p>
    <w:p>
      <w:pPr>
        <w:spacing w:before="291" w:lineRule="auto" w:line="392"/>
      </w:pPr>
      <w:r>
        <w:rPr>
          <w:rStyle w:val="9"/>
          <w:b/>
          <w:spacing w:val="-14"/>
        </w:rPr>
        <w:t>GHENT, BELGIUM – 23 November </w:t>
      </w:r>
      <w:r>
        <w:rPr>
          <w:rStyle w:val="9"/>
          <w:b/>
          <w:spacing w:val="-16"/>
        </w:rPr>
        <w:t>2021 </w:t>
      </w:r>
      <w:r>
        <w:rPr>
          <w:rStyle w:val="9"/>
          <w:b/>
          <w:spacing w:val="-14"/>
        </w:rPr>
        <w:t>– The Ghent Workgroup (GWG) is offering a new </w:t>
      </w:r>
      <w:r>
        <w:rPr>
          <w:rStyle w:val="9"/>
          <w:b/>
          <w:spacing w:val="-1"/>
        </w:rPr>
        <w:t>service called </w:t>
      </w:r>
      <w:r>
        <w:rPr>
          <w:rStyle w:val="9"/>
          <w:b/>
          <w:i/>
          <w:spacing w:val="-1"/>
        </w:rPr>
        <w:t>Ghent PDF Output Suite 5.0 Conformance Certification</w:t>
      </w:r>
      <w:r>
        <w:rPr>
          <w:rStyle w:val="9"/>
          <w:b/>
          <w:spacing w:val="-1"/>
        </w:rPr>
        <w:t>. With this </w:t>
      </w:r>
      <w:r>
        <w:rPr>
          <w:rStyle w:val="9"/>
          <w:b/>
        </w:rPr>
        <w:t>certificate print service providers can prove that their PDF output workflow is compliant with the PDF/X-4 standard (ISO </w:t>
      </w:r>
      <w:r>
        <w:rPr>
          <w:rStyle w:val="9"/>
          <w:b/>
          <w:spacing w:val="-2"/>
        </w:rPr>
        <w:t>15930</w:t>
      </w:r>
      <w:r>
        <w:rPr>
          <w:rStyle w:val="9"/>
          <w:b/>
        </w:rPr>
        <w:t>-7:2010).</w:t>
      </w:r>
    </w:p>
    <w:p>
      <w:pPr>
        <w:spacing w:before="290" w:lineRule="auto" w:line="392"/>
        <w:ind w:right="93"/>
      </w:pPr>
      <w:r>
        <w:rPr>
          <w:rStyle w:val="12"/>
          <w:spacing w:val="-7"/>
        </w:rPr>
        <w:t>The certification is based on the globally recognized </w:t>
      </w:r>
      <w:hyperlink w:history="1" r:id="rId1">
        <w:r>
          <w:rPr>
            <w:rStyle w:val="12"/>
            <w:b/>
            <w:color w:val="81024A"/>
            <w:spacing w:val="-7"/>
            <w:u w:val="single" w:color="81024A"/>
          </w:rPr>
          <w:t>Ghent PDF Output Suite</w:t>
        </w:r>
      </w:hyperlink>
      <w:r>
        <w:rPr>
          <w:rStyle w:val="12"/>
          <w:b/>
          <w:color w:val="81024A"/>
          <w:spacing w:val="-7"/>
        </w:rPr>
        <w:t> </w:t>
      </w:r>
      <w:r>
        <w:rPr>
          <w:rStyle w:val="12"/>
          <w:spacing w:val="-7"/>
        </w:rPr>
        <w:t>which was developed to </w:t>
      </w:r>
      <w:r>
        <w:rPr>
          <w:rStyle w:val="12"/>
          <w:spacing w:val="-9"/>
        </w:rPr>
        <w:t>help </w:t>
      </w:r>
      <w:r>
        <w:rPr>
          <w:rStyle w:val="14"/>
          <w:spacing w:val="-9"/>
        </w:rPr>
        <w:t>testing PDF/X-4 compliancy of PDF output workflows</w:t>
      </w:r>
      <w:r>
        <w:rPr>
          <w:rStyle w:val="12"/>
          <w:spacing w:val="-9"/>
        </w:rPr>
        <w:t>. The Ghent PDF Output Suite 5.0 consists </w:t>
      </w:r>
      <w:r>
        <w:rPr>
          <w:rStyle w:val="12"/>
          <w:spacing w:val="-5"/>
        </w:rPr>
        <w:t>of several dozen patches each testing a specific aspect of the PDF/X-4 standard. The GWG has put </w:t>
      </w:r>
      <w:r>
        <w:rPr>
          <w:rStyle w:val="12"/>
        </w:rPr>
        <w:t>together a great number of these patches into </w:t>
      </w:r>
      <w:r>
        <w:rPr>
          <w:rStyle w:val="14"/>
          <w:spacing w:val="2"/>
        </w:rPr>
        <w:t>six </w:t>
      </w:r>
      <w:r>
        <w:rPr>
          <w:rStyle w:val="14"/>
        </w:rPr>
        <w:t>merged test pages</w:t>
      </w:r>
      <w:r>
        <w:rPr>
          <w:rStyle w:val="12"/>
        </w:rPr>
        <w:t>:</w:t>
      </w:r>
    </w:p>
    <w:p>
      <w:pPr>
        <w:sectPr>
          <w:type w:val="continuous"/>
          <w:pgSz w:w="12240" w:h="15840"/>
          <w:pgMar w:top="1440" w:bottom="0" w:left="1560" w:right="1646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89"/>
        <w:ind w:left="1545"/>
      </w:pPr>
      <w:r>
        <w:rPr>
          <w:rStyle w:val="3"/>
        </w:rPr>
        <w:t/>
        <w:drawing>
          <wp:inline>
            <wp:extent cx="3974973" cy="3529965"/>
            <wp:docPr id="2" name="Shap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974973" cy="3529965"/>
                      <a:chOff x="0" y="0"/>
                      <a:chExt cx="3974973" cy="3529965"/>
                    </a:xfrm>
                  </wpg:grpSpPr>
                  <pic:pic>
                    <pic:nvPicPr>
                      <pic:cNvPr id="3" name="Shape 3"/>
                      <pic:cNvPicPr/>
                    </pic:nvPicPr>
                    <pic:blipFill>
                      <a:blip r:embed="rId2" cstate="print"/>
                      <a:stretch>
                        <a:fillRect/>
                      </a:stretch>
                    </pic:blipFill>
                    <pic:spPr>
                      <a:xfrm>
                        <a:off x="9461" y="38107"/>
                        <a:ext cx="3955923" cy="3482333"/>
                      </a:xfrm>
                      <a:prstGeom prst="rect">
                        <a:avLst/>
                      </a:prstGeom>
                    </pic:spPr>
                  </pic:pic>
                  <wps:wsp>
                    <wps:cNvPr id="4" name="Shape 4"/>
                    <wps:cNvSpPr/>
                    <wps:spPr>
                      <a:xfrm>
                        <a:off x="0" y="0"/>
                        <a:ext cx="3974973" cy="3529965"/>
                      </a:xfrm>
                      <a:prstGeom prst="rect">
                        <a:avLst/>
                      </a:prstGeom>
                      <a:ln w="9525" cap="flat">
                        <a:solidFill>
                          <a:srgbClr val="CBCBCB"/>
                        </a:solidFill>
                        <a:round/>
                      </a:ln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40" w:bottom="0" w:left="1440" w:right="1440" w:header="0" w:footer="0"/>
        </w:sectPr>
      </w:pPr>
    </w:p>
    <w:p>
      <w:pPr>
        <w:spacing w:before="230"/>
      </w:pPr>
      <w:hyperlink w:history="1" r:id="rId3">
        <w:r>
          <w:rPr>
            <w:rStyle w:val="2"/>
            <w:spacing w:val="-5"/>
          </w:rPr>
          <w:t>www.gwg.org</w:t>
        </w:r>
      </w:hyperlink>
    </w:p>
    <w:p>
      <w:pPr>
        <w:sectPr>
          <w:type w:val="continuous"/>
          <w:pgSz w:w="12240" w:h="15840"/>
          <w:pgMar w:top="1440" w:bottom="0" w:left="1560" w:right="9520" w:header="0" w:footer="0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440" w:bottom="0" w:left="1440" w:right="1440" w:header="0" w:footer="0"/>
        </w:sectPr>
      </w:pPr>
      <w:r>
        <w:drawing>
          <wp:anchor simplePos="0" relativeHeight="11" behindDoc="1" locked="0" layoutInCell="1" allowOverlap="1">
            <wp:simplePos x="0" y="0"/>
            <wp:positionH relativeFrom="page">
              <wp:posOffset>5546990</wp:posOffset>
            </wp:positionH>
            <wp:positionV relativeFrom="page">
              <wp:posOffset>424728</wp:posOffset>
            </wp:positionV>
            <wp:extent cx="1871232" cy="535957"/>
            <wp:wrapNone/>
            <wp:docPr id="5" name="Shape 5"/>
            <a:graphic>
              <a:graphicData uri="http://schemas.openxmlformats.org/drawingml/2006/picture">
                <pic:pic>
                  <pic:nvPicPr>
                    <pic:cNvPr id="5" name="Shap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32" cy="53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pgSz w:w="12240" w:h="15840"/>
          <w:pgMar w:top="1440" w:bottom="0" w:left="1440" w:right="1440" w:header="0" w:footer="0"/>
        </w:sectPr>
      </w:pPr>
    </w:p>
    <w:p>
      <w:pPr>
        <w:spacing w:before="214" w:lineRule="auto" w:line="392"/>
        <w:ind w:right="5"/>
        <w:jc w:val="both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-1936663</wp:posOffset>
            </wp:positionV>
            <wp:extent cx="481965" cy="10058395"/>
            <wp:wrapNone/>
            <wp:docPr id="6" name="Shape 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965" cy="10058395"/>
                    </a:xfrm>
                    <a:prstGeom prst="rect">
                      <a:avLst/>
                    </a:prstGeom>
                    <a:solidFill>
                      <a:srgbClr val="F6A400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12"/>
          <w:spacing w:val="-7"/>
        </w:rPr>
        <w:t>This test file is </w:t>
      </w:r>
      <w:r>
        <w:rPr>
          <w:rStyle w:val="14"/>
          <w:spacing w:val="-7"/>
        </w:rPr>
        <w:t>fully PDF/X-4 compliant </w:t>
      </w:r>
      <w:r>
        <w:rPr>
          <w:rStyle w:val="12"/>
          <w:spacing w:val="-8"/>
        </w:rPr>
        <w:t>an</w:t>
      </w:r>
      <w:r>
        <w:rPr>
          <w:rStyle w:val="12"/>
          <w:spacing w:val="-7"/>
        </w:rPr>
        <w:t>d contains only valid PDF/X-4 features which represents what </w:t>
      </w:r>
      <w:r>
        <w:rPr>
          <w:rStyle w:val="12"/>
        </w:rPr>
        <w:t>could be part of every regular PDF/X-4 print production file.</w:t>
      </w:r>
    </w:p>
    <w:p>
      <w:pPr>
        <w:spacing w:before="4"/>
        <w:jc w:val="both"/>
      </w:pPr>
      <w:r>
        <w:rPr>
          <w:rStyle w:val="12"/>
        </w:rPr>
        <w:t>The pages of the Ghent PDF Output Suite 5.0 are grouped into </w:t>
      </w:r>
      <w:r>
        <w:rPr>
          <w:rStyle w:val="14"/>
        </w:rPr>
        <w:t>two conformance levels</w:t>
      </w:r>
      <w:r>
        <w:rPr>
          <w:rStyle w:val="12"/>
        </w:rPr>
        <w:t>:</w:t>
      </w:r>
    </w:p>
    <w:p>
      <w:pPr/>
      <w:r>
        <w:rPr>
          <w:rStyle w:val="3"/>
        </w:rPr>
        <w:t/>
      </w:r>
    </w:p>
    <w:p>
      <w:pPr>
        <w:numPr>
          <w:ilvl w:val="0"/>
          <w:numId w:val="1"/>
        </w:numPr>
        <w:spacing w:before="34"/>
      </w:pPr>
      <w:r>
        <w:rPr>
          <w:rStyle w:val="14"/>
        </w:rPr>
        <w:t>Conformance Level 1</w:t>
      </w:r>
      <w:r>
        <w:rPr>
          <w:rStyle w:val="12"/>
        </w:rPr>
        <w:t>: pages 1–</w:t>
      </w:r>
      <w:r>
        <w:rPr>
          <w:rStyle w:val="12"/>
          <w:spacing w:val="1"/>
        </w:rPr>
        <w:t>4 </w:t>
      </w:r>
      <w:r>
        <w:rPr>
          <w:rStyle w:val="12"/>
        </w:rPr>
        <w:t>which includes CMYK and Spot color tests</w:t>
      </w:r>
    </w:p>
    <w:p>
      <w:pPr>
        <w:numPr>
          <w:ilvl w:val="0"/>
          <w:numId w:val="1"/>
        </w:numPr>
        <w:spacing w:before="143"/>
      </w:pPr>
      <w:r>
        <w:rPr>
          <w:rStyle w:val="14"/>
          <w:spacing w:val="-2"/>
        </w:rPr>
        <w:t>Conformance Level 1+2</w:t>
      </w:r>
      <w:r>
        <w:rPr>
          <w:rStyle w:val="12"/>
          <w:spacing w:val="-2"/>
        </w:rPr>
        <w:t>: pages 1–</w:t>
      </w:r>
      <w:r>
        <w:rPr>
          <w:rStyle w:val="12"/>
          <w:spacing w:val="-1"/>
        </w:rPr>
        <w:t>4 </w:t>
      </w:r>
      <w:r>
        <w:rPr>
          <w:rStyle w:val="12"/>
          <w:spacing w:val="-2"/>
        </w:rPr>
        <w:t>AND pages 5–</w:t>
      </w:r>
      <w:r>
        <w:rPr>
          <w:rStyle w:val="12"/>
          <w:spacing w:val="-1"/>
        </w:rPr>
        <w:t>6 </w:t>
      </w:r>
      <w:r>
        <w:rPr>
          <w:rStyle w:val="12"/>
          <w:spacing w:val="-2"/>
        </w:rPr>
        <w:t>which includes ICC based color tests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92"/>
      </w:pPr>
      <w:r>
        <w:rPr>
          <w:rStyle w:val="12"/>
        </w:rPr>
        <w:t>Conformance Level 2 involves color management and is therefore more demanding.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45"/>
      </w:pPr>
      <w:r>
        <w:rPr>
          <w:rStyle w:val="9"/>
          <w:b/>
        </w:rPr>
        <w:t>Certification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13"/>
      </w:pPr>
      <w:r>
        <w:rPr>
          <w:rStyle w:val="12"/>
        </w:rPr>
        <w:t>The GWG is offering two separate Conformance Certificates Levels:</w:t>
      </w:r>
    </w:p>
    <w:p>
      <w:pPr/>
      <w:r>
        <w:rPr>
          <w:rStyle w:val="3"/>
        </w:rPr>
        <w:t/>
      </w:r>
    </w:p>
    <w:p>
      <w:pPr>
        <w:numPr>
          <w:ilvl w:val="0"/>
          <w:numId w:val="1"/>
        </w:numPr>
        <w:spacing w:before="34"/>
      </w:pPr>
      <w:r>
        <w:rPr>
          <w:rStyle w:val="12"/>
        </w:rPr>
        <w:t>Ghent PDF Output Suite 5.0 Conformance Certification – Level 1</w:t>
      </w:r>
    </w:p>
    <w:p>
      <w:pPr>
        <w:numPr>
          <w:ilvl w:val="0"/>
          <w:numId w:val="1"/>
        </w:numPr>
        <w:spacing w:before="143"/>
      </w:pPr>
      <w:r>
        <w:rPr>
          <w:rStyle w:val="12"/>
        </w:rPr>
        <w:t>Ghent PDF Output Suite 5.0 Conformance Certification – Level 1+2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tabs>
          <w:tab w:pos="3678" w:val="left" w:leader="none"/>
        </w:tabs>
        <w:spacing w:before="165"/>
        <w:ind w:left="464"/>
      </w:pPr>
      <w:r>
        <w:rPr>
          <w:rStyle w:val="3"/>
        </w:rPr>
        <w:t/>
        <w:drawing>
          <wp:inline>
            <wp:extent cx="1906153" cy="1650462"/>
            <wp:docPr id="7" name="Shape 7"/>
            <a:graphic>
              <a:graphicData uri="http://schemas.openxmlformats.org/drawingml/2006/picture">
                <pic:pic>
                  <pic:nvPicPr>
                    <pic:cNvPr id="7" name="Shap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153" cy="16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"/>
        </w:rPr>
        <w:tab/>
      </w:r>
      <w:r>
        <w:rPr>
          <w:rStyle w:val="3"/>
          <w:position w:val="1"/>
        </w:rPr>
        <w:t/>
        <w:drawing>
          <wp:inline>
            <wp:extent cx="1919162" cy="1660470"/>
            <wp:docPr id="8" name="Shape 8"/>
            <a:graphic>
              <a:graphicData uri="http://schemas.openxmlformats.org/drawingml/2006/picture">
                <pic:pic>
                  <pic:nvPicPr>
                    <pic:cNvPr id="8" name="Shap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162" cy="16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20" w:lineRule="auto" w:line="395"/>
      </w:pPr>
      <w:r>
        <w:rPr>
          <w:rStyle w:val="12"/>
          <w:spacing w:val="-2"/>
        </w:rPr>
        <w:t>GWG has created the </w:t>
      </w:r>
      <w:r>
        <w:rPr>
          <w:rStyle w:val="14"/>
          <w:spacing w:val="-2"/>
        </w:rPr>
        <w:t>Ghent PDF Output Suite 5.0 Conformance Certification </w:t>
      </w:r>
      <w:r>
        <w:rPr>
          <w:rStyle w:val="12"/>
          <w:spacing w:val="-2"/>
        </w:rPr>
        <w:t>program in 2021. </w:t>
      </w:r>
      <w:r>
        <w:rPr>
          <w:rStyle w:val="12"/>
          <w:spacing w:val="-5"/>
        </w:rPr>
        <w:t>Participating GWG members can offer this program to their members, customers, community, etc. The </w:t>
      </w:r>
      <w:r>
        <w:rPr>
          <w:rStyle w:val="12"/>
        </w:rPr>
        <w:t>certification program is for </w:t>
      </w:r>
      <w:r>
        <w:rPr>
          <w:rStyle w:val="14"/>
        </w:rPr>
        <w:t>companies </w:t>
      </w:r>
      <w:r>
        <w:rPr>
          <w:rStyle w:val="12"/>
        </w:rPr>
        <w:t>not individuals and targeted to </w:t>
      </w:r>
      <w:r>
        <w:rPr>
          <w:rStyle w:val="14"/>
        </w:rPr>
        <w:t>end users </w:t>
      </w:r>
      <w:r>
        <w:rPr>
          <w:rStyle w:val="12"/>
        </w:rPr>
        <w:t>(e.g., print and packaging service providers)</w:t>
      </w:r>
      <w:r>
        <w:rPr>
          <w:rStyle w:val="12"/>
          <w:spacing w:val="-2"/>
        </w:rPr>
        <w:t>.</w:t>
      </w:r>
      <w:r>
        <w:rPr>
          <w:rStyle w:val="12"/>
          <w:spacing w:val="41"/>
        </w:rPr>
        <w:t> </w:t>
      </w:r>
      <w:r>
        <w:rPr>
          <w:rStyle w:val="12"/>
        </w:rPr>
        <w:t>Solution vendors, developers or system integrators who wish to </w:t>
      </w:r>
      <w:r>
        <w:rPr>
          <w:rStyle w:val="12"/>
          <w:spacing w:val="-6"/>
        </w:rPr>
        <w:t>participate in the Ghent PDF Output Suite 5.0 Compliancy program for their products should contact the </w:t>
      </w:r>
      <w:r>
        <w:rPr>
          <w:rStyle w:val="12"/>
        </w:rPr>
        <w:t>GWG</w:t>
      </w:r>
      <w:r>
        <w:rPr>
          <w:rStyle w:val="12"/>
          <w:spacing w:val="-2"/>
        </w:rPr>
        <w:t>.</w:t>
      </w:r>
    </w:p>
    <w:p>
      <w:pPr>
        <w:sectPr>
          <w:type w:val="continuous"/>
          <w:pgSz w:w="12240" w:h="15840"/>
          <w:pgMar w:top="1440" w:bottom="0" w:left="1560" w:right="1596" w:header="0" w:footer="0"/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40" w:bottom="0" w:left="1440" w:right="1440" w:header="0" w:footer="0"/>
        </w:sectPr>
      </w:pPr>
    </w:p>
    <w:p>
      <w:pPr>
        <w:spacing w:before="221"/>
      </w:pPr>
      <w:hyperlink w:history="1" r:id="rId3">
        <w:r>
          <w:rPr>
            <w:rStyle w:val="2"/>
            <w:spacing w:val="-5"/>
          </w:rPr>
          <w:t>www.gwg.org</w:t>
        </w:r>
      </w:hyperlink>
    </w:p>
    <w:p>
      <w:pPr>
        <w:sectPr>
          <w:type w:val="continuous"/>
          <w:pgSz w:w="12240" w:h="15840"/>
          <w:pgMar w:top="1440" w:bottom="0" w:left="1560" w:right="9520" w:header="0" w:footer="0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440" w:bottom="0" w:left="1440" w:right="1440" w:header="0" w:footer="0"/>
        </w:sectPr>
      </w:pPr>
      <w:r>
        <w:drawing>
          <wp:anchor simplePos="0" relativeHeight="11" behindDoc="1" locked="0" layoutInCell="1" allowOverlap="1">
            <wp:simplePos x="0" y="0"/>
            <wp:positionH relativeFrom="page">
              <wp:posOffset>5546990</wp:posOffset>
            </wp:positionH>
            <wp:positionV relativeFrom="page">
              <wp:posOffset>424728</wp:posOffset>
            </wp:positionV>
            <wp:extent cx="1871232" cy="535957"/>
            <wp:wrapNone/>
            <wp:docPr id="9" name="Shape 9"/>
            <a:graphic>
              <a:graphicData uri="http://schemas.openxmlformats.org/drawingml/2006/picture">
                <pic:pic>
                  <pic:nvPicPr>
                    <pic:cNvPr id="9" name="Shap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32" cy="53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pgSz w:w="12240" w:h="15840"/>
          <w:pgMar w:top="1440" w:bottom="0" w:left="1440" w:right="1440" w:header="0" w:footer="0"/>
        </w:sectPr>
      </w:pPr>
    </w:p>
    <w:p>
      <w:pPr>
        <w:spacing w:before="214" w:lineRule="auto" w:line="392"/>
        <w:ind w:right="269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-1936663</wp:posOffset>
            </wp:positionV>
            <wp:extent cx="481965" cy="10058395"/>
            <wp:wrapNone/>
            <wp:docPr id="10" name="Shape 1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965" cy="10058395"/>
                    </a:xfrm>
                    <a:prstGeom prst="rect">
                      <a:avLst/>
                    </a:prstGeom>
                    <a:solidFill>
                      <a:srgbClr val="F6A400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12"/>
          <w:spacing w:val="-6"/>
        </w:rPr>
        <w:t>The certification is not directly offered by the Ghent Workgroup but by participating GWG members </w:t>
      </w:r>
      <w:r>
        <w:rPr>
          <w:rStyle w:val="12"/>
          <w:spacing w:val="-8"/>
        </w:rPr>
        <w:t>(associations, vendors, industry members, educational members). </w:t>
      </w:r>
      <w:r>
        <w:rPr>
          <w:rStyle w:val="14"/>
          <w:spacing w:val="-8"/>
        </w:rPr>
        <w:t>The GWG member manages the </w:t>
      </w:r>
      <w:r>
        <w:rPr>
          <w:rStyle w:val="14"/>
        </w:rPr>
        <w:t>certification process. </w:t>
      </w:r>
      <w:r>
        <w:rPr>
          <w:rStyle w:val="12"/>
        </w:rPr>
        <w:t>They also determine the cost of the certification for their candidates.</w:t>
      </w:r>
    </w:p>
    <w:p>
      <w:pPr>
        <w:spacing w:before="5"/>
      </w:pPr>
      <w:r>
        <w:rPr>
          <w:rStyle w:val="12"/>
        </w:rPr>
        <w:t>The following GWG members already expressed interest to offer this conformance certification:</w:t>
      </w:r>
    </w:p>
    <w:p>
      <w:pPr/>
      <w:r>
        <w:rPr>
          <w:rStyle w:val="3"/>
        </w:rPr>
        <w:t/>
      </w:r>
    </w:p>
    <w:p>
      <w:pPr>
        <w:numPr>
          <w:ilvl w:val="0"/>
          <w:numId w:val="2"/>
        </w:numPr>
        <w:spacing w:before="39"/>
      </w:pPr>
      <w:r>
        <w:rPr>
          <w:rStyle w:val="17"/>
          <w:u w:val="single" w:color="81024A"/>
        </w:rPr>
        <w:t>ArtOption</w:t>
      </w:r>
      <w:r>
        <w:rPr>
          <w:rStyle w:val="17"/>
        </w:rPr>
        <w:t> </w:t>
      </w:r>
      <w:r>
        <w:rPr>
          <w:rStyle w:val="12"/>
        </w:rPr>
        <w:t>(Germany)</w:t>
      </w:r>
    </w:p>
    <w:p>
      <w:pPr>
        <w:numPr>
          <w:ilvl w:val="0"/>
          <w:numId w:val="2"/>
        </w:numPr>
        <w:spacing w:before="48"/>
      </w:pPr>
      <w:r>
        <w:rPr>
          <w:rStyle w:val="17"/>
          <w:u w:val="single" w:color="81024A"/>
        </w:rPr>
        <w:t>CAPT</w:t>
      </w:r>
      <w:r>
        <w:rPr>
          <w:rStyle w:val="17"/>
        </w:rPr>
        <w:t> </w:t>
      </w:r>
      <w:r>
        <w:rPr>
          <w:rStyle w:val="12"/>
        </w:rPr>
        <w:t>(China)</w:t>
      </w:r>
    </w:p>
    <w:p>
      <w:pPr>
        <w:numPr>
          <w:ilvl w:val="0"/>
          <w:numId w:val="2"/>
        </w:numPr>
        <w:spacing w:before="53"/>
      </w:pPr>
      <w:r>
        <w:rPr>
          <w:rStyle w:val="17"/>
          <w:u w:val="single" w:color="81024A"/>
        </w:rPr>
        <w:t>CEC LATAM</w:t>
      </w:r>
      <w:r>
        <w:rPr>
          <w:rStyle w:val="17"/>
        </w:rPr>
        <w:t> </w:t>
      </w:r>
      <w:r>
        <w:rPr>
          <w:rStyle w:val="12"/>
        </w:rPr>
        <w:t>(Latin America)</w:t>
      </w:r>
    </w:p>
    <w:p>
      <w:pPr>
        <w:numPr>
          <w:ilvl w:val="0"/>
          <w:numId w:val="2"/>
        </w:numPr>
        <w:spacing w:before="48"/>
      </w:pPr>
      <w:r>
        <w:rPr>
          <w:rStyle w:val="17"/>
          <w:u w:val="single" w:color="81024A"/>
        </w:rPr>
        <w:t>EFI</w:t>
      </w:r>
      <w:r>
        <w:rPr>
          <w:rStyle w:val="17"/>
        </w:rPr>
        <w:t> </w:t>
      </w:r>
      <w:r>
        <w:rPr>
          <w:rStyle w:val="12"/>
        </w:rPr>
        <w:t>(International)</w:t>
      </w:r>
    </w:p>
    <w:p>
      <w:pPr>
        <w:numPr>
          <w:ilvl w:val="0"/>
          <w:numId w:val="2"/>
        </w:numPr>
        <w:spacing w:before="53"/>
      </w:pPr>
      <w:hyperlink w:history="1" r:id="rId8">
        <w:r>
          <w:rPr>
            <w:rStyle w:val="17"/>
            <w:u w:val="single" w:color="81024A"/>
          </w:rPr>
          <w:t>Four Pees</w:t>
        </w:r>
      </w:hyperlink>
      <w:r>
        <w:rPr>
          <w:rStyle w:val="17"/>
        </w:rPr>
        <w:t> </w:t>
      </w:r>
      <w:r>
        <w:rPr>
          <w:rStyle w:val="12"/>
        </w:rPr>
        <w:t>(Europe)</w:t>
      </w:r>
    </w:p>
    <w:p>
      <w:pPr>
        <w:numPr>
          <w:ilvl w:val="0"/>
          <w:numId w:val="2"/>
        </w:numPr>
        <w:spacing w:before="52"/>
      </w:pPr>
      <w:r>
        <w:rPr>
          <w:rStyle w:val="17"/>
          <w:u w:val="single" w:color="81024A"/>
        </w:rPr>
        <w:t>Future Schoolz</w:t>
      </w:r>
      <w:r>
        <w:rPr>
          <w:rStyle w:val="17"/>
        </w:rPr>
        <w:t> </w:t>
      </w:r>
      <w:r>
        <w:rPr>
          <w:rStyle w:val="12"/>
        </w:rPr>
        <w:t>(India)</w:t>
      </w:r>
    </w:p>
    <w:p>
      <w:pPr>
        <w:numPr>
          <w:ilvl w:val="0"/>
          <w:numId w:val="2"/>
        </w:numPr>
        <w:spacing w:before="48"/>
      </w:pPr>
      <w:r>
        <w:rPr>
          <w:rStyle w:val="17"/>
          <w:u w:val="single" w:color="81024A"/>
        </w:rPr>
        <w:t>Government Institute of Printing Technology Mumbai</w:t>
      </w:r>
      <w:r>
        <w:rPr>
          <w:rStyle w:val="17"/>
        </w:rPr>
        <w:t> </w:t>
      </w:r>
      <w:r>
        <w:rPr>
          <w:rStyle w:val="12"/>
        </w:rPr>
        <w:t>(India)</w:t>
      </w:r>
    </w:p>
    <w:p>
      <w:pPr>
        <w:numPr>
          <w:ilvl w:val="0"/>
          <w:numId w:val="2"/>
        </w:numPr>
        <w:spacing w:before="53"/>
      </w:pPr>
      <w:r>
        <w:rPr>
          <w:rStyle w:val="17"/>
          <w:u w:val="single" w:color="81024A"/>
        </w:rPr>
        <w:t>UiTM</w:t>
      </w:r>
      <w:r>
        <w:rPr>
          <w:rStyle w:val="17"/>
        </w:rPr>
        <w:t> </w:t>
      </w:r>
      <w:r>
        <w:rPr>
          <w:rStyle w:val="12"/>
        </w:rPr>
        <w:t>(Malaysia)</w:t>
      </w:r>
    </w:p>
    <w:p>
      <w:pPr>
        <w:numPr>
          <w:ilvl w:val="0"/>
          <w:numId w:val="2"/>
        </w:numPr>
        <w:spacing w:before="48"/>
      </w:pPr>
      <w:r>
        <w:rPr>
          <w:rStyle w:val="17"/>
          <w:u w:val="single" w:color="81024A"/>
        </w:rPr>
        <w:t>University of Ljubljana</w:t>
      </w:r>
      <w:r>
        <w:rPr>
          <w:rStyle w:val="17"/>
        </w:rPr>
        <w:t> </w:t>
      </w:r>
      <w:r>
        <w:rPr>
          <w:rStyle w:val="12"/>
        </w:rPr>
        <w:t>(Slovenia)</w:t>
      </w:r>
    </w:p>
    <w:p>
      <w:pPr>
        <w:numPr>
          <w:ilvl w:val="0"/>
          <w:numId w:val="2"/>
        </w:numPr>
        <w:spacing w:before="53"/>
      </w:pPr>
      <w:r>
        <w:rPr>
          <w:rStyle w:val="17"/>
          <w:u w:val="single" w:color="81024A"/>
        </w:rPr>
        <w:t>VIGC</w:t>
      </w:r>
      <w:r>
        <w:rPr>
          <w:rStyle w:val="17"/>
        </w:rPr>
        <w:t> </w:t>
      </w:r>
      <w:r>
        <w:rPr>
          <w:rStyle w:val="12"/>
        </w:rPr>
        <w:t>(Belgium)</w:t>
      </w:r>
    </w:p>
    <w:p>
      <w:pPr>
        <w:spacing w:before="362" w:lineRule="auto" w:line="394"/>
        <w:ind w:right="170"/>
      </w:pPr>
      <w:r>
        <w:rPr>
          <w:rStyle w:val="12"/>
          <w:spacing w:val="-11"/>
        </w:rPr>
        <w:t>In spring 2021 GWG successfully conducted a </w:t>
      </w:r>
      <w:r>
        <w:rPr>
          <w:rStyle w:val="14"/>
          <w:spacing w:val="-11"/>
        </w:rPr>
        <w:t>pilot project </w:t>
      </w:r>
      <w:r>
        <w:rPr>
          <w:rStyle w:val="12"/>
          <w:spacing w:val="-11"/>
        </w:rPr>
        <w:t>with the new GWG member </w:t>
      </w:r>
      <w:r>
        <w:rPr>
          <w:rStyle w:val="14"/>
          <w:spacing w:val="-11"/>
        </w:rPr>
        <w:t>CEC LATAM </w:t>
      </w:r>
      <w:r>
        <w:rPr>
          <w:rStyle w:val="12"/>
          <w:spacing w:val="-11"/>
        </w:rPr>
        <w:t>in </w:t>
      </w:r>
      <w:r>
        <w:rPr>
          <w:rStyle w:val="12"/>
          <w:spacing w:val="-7"/>
        </w:rPr>
        <w:t>Latin America. They have also included the certification in their latest PDF training program. We were </w:t>
      </w:r>
      <w:r>
        <w:rPr>
          <w:rStyle w:val="12"/>
        </w:rPr>
        <w:t>able to award </w:t>
      </w:r>
      <w:r>
        <w:rPr>
          <w:rStyle w:val="14"/>
        </w:rPr>
        <w:t>four Level 1 certificates </w:t>
      </w:r>
      <w:r>
        <w:rPr>
          <w:rStyle w:val="12"/>
        </w:rPr>
        <w:t>and </w:t>
      </w:r>
      <w:r>
        <w:rPr>
          <w:rStyle w:val="14"/>
        </w:rPr>
        <w:t>five Level 1+2 certificates</w:t>
      </w:r>
      <w:r>
        <w:rPr>
          <w:rStyle w:val="12"/>
        </w:rPr>
        <w:t>: </w:t>
      </w:r>
      <w:hyperlink w:history="1" r:id="rId9">
        <w:r>
          <w:rPr>
            <w:rStyle w:val="17"/>
            <w:u w:val="single" w:color="81024A"/>
          </w:rPr>
          <w:t>http://gwg.org/gos5/conformance-certificates/</w:t>
        </w:r>
      </w:hyperlink>
    </w:p>
    <w:p>
      <w:pPr>
        <w:spacing w:before="256" w:lineRule="auto" w:line="394"/>
      </w:pPr>
      <w:r>
        <w:rPr>
          <w:rStyle w:val="12"/>
          <w:spacing w:val="-4"/>
        </w:rPr>
        <w:t>“The Ghent PDF Output Suite 5.0 was created to check if the settings of a PDF output workflow are </w:t>
      </w:r>
      <w:r>
        <w:rPr>
          <w:rStyle w:val="12"/>
          <w:spacing w:val="-7"/>
        </w:rPr>
        <w:t>conform to the PDF/X-4 standard. The new Conformance Certification allows a print service provider to </w:t>
      </w:r>
      <w:r>
        <w:rPr>
          <w:rStyle w:val="12"/>
          <w:spacing w:val="-3"/>
        </w:rPr>
        <w:t>proof that this output workflow is able to process PDF/X-4 print files without any problems</w:t>
      </w:r>
      <w:r>
        <w:rPr>
          <w:rStyle w:val="12"/>
          <w:spacing w:val="-5"/>
        </w:rPr>
        <w:t>. </w:t>
      </w:r>
      <w:r>
        <w:rPr>
          <w:rStyle w:val="12"/>
          <w:spacing w:val="-3"/>
        </w:rPr>
        <w:t>This will </w:t>
      </w:r>
      <w:r>
        <w:rPr>
          <w:rStyle w:val="12"/>
          <w:spacing w:val="-7"/>
        </w:rPr>
        <w:t>help increase the reliability of PDF/X-4 workflows worldwide</w:t>
      </w:r>
      <w:r>
        <w:rPr>
          <w:rStyle w:val="12"/>
          <w:i/>
          <w:spacing w:val="-8"/>
        </w:rPr>
        <w:t>”, </w:t>
      </w:r>
      <w:r>
        <w:rPr>
          <w:rStyle w:val="12"/>
          <w:spacing w:val="-7"/>
        </w:rPr>
        <w:t>stated Stephan Jaeggi</w:t>
      </w:r>
      <w:r>
        <w:rPr>
          <w:rStyle w:val="12"/>
          <w:spacing w:val="-9"/>
        </w:rPr>
        <w:t>, </w:t>
      </w:r>
      <w:r>
        <w:rPr>
          <w:rStyle w:val="12"/>
          <w:spacing w:val="-7"/>
        </w:rPr>
        <w:t>CEO of PrePress-</w:t>
      </w:r>
      <w:r>
        <w:rPr>
          <w:rStyle w:val="12"/>
        </w:rPr>
        <w:t>Consulting in Switzerland and Co-Chair of the GWG Process Control Subcommittee.</w:t>
      </w:r>
    </w:p>
    <w:p>
      <w:pPr>
        <w:sectPr>
          <w:type w:val="continuous"/>
          <w:pgSz w:w="12240" w:h="15840"/>
          <w:pgMar w:top="1440" w:bottom="0" w:left="1560" w:right="1705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40" w:bottom="0" w:left="1440" w:right="1440" w:header="0" w:footer="0"/>
        </w:sectPr>
      </w:pPr>
    </w:p>
    <w:p>
      <w:pPr>
        <w:spacing w:before="76"/>
      </w:pPr>
      <w:r>
        <w:rPr>
          <w:rStyle w:val="12"/>
          <w:spacing w:val="-3"/>
        </w:rPr>
        <w:t>Additional information is available on </w:t>
      </w:r>
      <w:hyperlink w:history="1" r:id="rId10">
        <w:r>
          <w:rPr>
            <w:rStyle w:val="17"/>
            <w:spacing w:val="-3"/>
            <w:u w:val="single" w:color="81024A"/>
          </w:rPr>
          <w:t>https://www.gwg.org/gos5/conformance-certification</w:t>
        </w:r>
        <w:r>
          <w:rPr>
            <w:rStyle w:val="12"/>
            <w:spacing w:val="-3"/>
          </w:rPr>
          <w:t>.</w:t>
        </w:r>
      </w:hyperlink>
    </w:p>
    <w:p>
      <w:pPr>
        <w:sectPr>
          <w:type w:val="continuous"/>
          <w:pgSz w:w="12240" w:h="15840"/>
          <w:pgMar w:top="1440" w:bottom="0" w:left="1560" w:right="2573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40" w:bottom="0" w:left="1440" w:right="1440" w:header="0" w:footer="0"/>
        </w:sectPr>
      </w:pPr>
    </w:p>
    <w:p>
      <w:pPr>
        <w:spacing w:before="179"/>
      </w:pPr>
      <w:hyperlink w:history="1" r:id="rId3">
        <w:r>
          <w:rPr>
            <w:rStyle w:val="2"/>
            <w:spacing w:val="-5"/>
          </w:rPr>
          <w:t>www.gwg.org</w:t>
        </w:r>
      </w:hyperlink>
    </w:p>
    <w:p>
      <w:pPr>
        <w:sectPr>
          <w:type w:val="continuous"/>
          <w:pgSz w:w="12240" w:h="15840"/>
          <w:pgMar w:top="1440" w:bottom="0" w:left="1560" w:right="9520" w:header="0" w:footer="0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440" w:bottom="0" w:left="1440" w:right="1440" w:header="0" w:footer="0"/>
        </w:sectPr>
      </w:pPr>
      <w:r>
        <w:drawing>
          <wp:anchor simplePos="0" relativeHeight="11" behindDoc="1" locked="0" layoutInCell="1" allowOverlap="1">
            <wp:simplePos x="0" y="0"/>
            <wp:positionH relativeFrom="page">
              <wp:posOffset>5546990</wp:posOffset>
            </wp:positionH>
            <wp:positionV relativeFrom="page">
              <wp:posOffset>424728</wp:posOffset>
            </wp:positionV>
            <wp:extent cx="1871232" cy="535957"/>
            <wp:wrapNone/>
            <wp:docPr id="11" name="Shape 11"/>
            <a:graphic>
              <a:graphicData uri="http://schemas.openxmlformats.org/drawingml/2006/picture">
                <pic:pic>
                  <pic:nvPicPr>
                    <pic:cNvPr id="11" name="Shape 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32" cy="53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pgSz w:w="12240" w:h="15840"/>
          <w:pgMar w:top="1440" w:bottom="0" w:left="1440" w:right="1440" w:header="0" w:footer="0"/>
        </w:sectPr>
      </w:pPr>
    </w:p>
    <w:p>
      <w:pPr>
        <w:spacing w:before="51"/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-1790626</wp:posOffset>
            </wp:positionV>
            <wp:extent cx="481965" cy="10058395"/>
            <wp:wrapNone/>
            <wp:docPr id="12" name="Shape 1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1965" cy="10058395"/>
                    </a:xfrm>
                    <a:prstGeom prst="rect">
                      <a:avLst/>
                    </a:prstGeom>
                    <a:solidFill>
                      <a:srgbClr val="F6A400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  <w:r>
        <w:rPr>
          <w:rStyle w:val="9"/>
          <w:b/>
        </w:rPr>
        <w:t>About Ghent Workgroup</w:t>
      </w:r>
    </w:p>
    <w:p>
      <w:pPr>
        <w:spacing w:before="169" w:lineRule="auto" w:line="262"/>
      </w:pPr>
      <w:r>
        <w:rPr>
          <w:rStyle w:val="21"/>
        </w:rPr>
        <w:t>The Ghent Workgroup, formed in June 2002, is an international assembly of industry associations, suppliers, educators and industry members from around the globe. The </w:t>
      </w:r>
      <w:r>
        <w:rPr>
          <w:rStyle w:val="21"/>
          <w:spacing w:val="-8"/>
        </w:rPr>
        <w:t>Ghent Workgroup’s objective is to establish and disseminate process specifications for bes</w:t>
      </w:r>
      <w:r>
        <w:rPr>
          <w:rStyle w:val="21"/>
          <w:spacing w:val="-9"/>
        </w:rPr>
        <w:t>t </w:t>
      </w:r>
      <w:r>
        <w:rPr>
          <w:rStyle w:val="21"/>
        </w:rPr>
        <w:t>practices in graphic arts workflows.</w:t>
      </w:r>
    </w:p>
    <w:p>
      <w:pPr/>
      <w:r>
        <w:rPr>
          <w:rStyle w:val="3"/>
        </w:rPr>
        <w:t/>
      </w:r>
    </w:p>
    <w:p>
      <w:pPr>
        <w:spacing w:before="77" w:lineRule="auto" w:line="264"/>
        <w:ind w:right="274"/>
      </w:pPr>
      <w:r>
        <w:rPr>
          <w:rStyle w:val="21"/>
          <w:spacing w:val="-2"/>
        </w:rPr>
        <w:t>Since its inception almost 20 years ago, the organization has consistently produced </w:t>
      </w:r>
      <w:r>
        <w:rPr>
          <w:rStyle w:val="21"/>
          <w:spacing w:val="-9"/>
        </w:rPr>
        <w:t>numerous process specifications for PDF exchange, as well as developing useful tools for </w:t>
      </w:r>
      <w:r>
        <w:rPr>
          <w:rStyle w:val="21"/>
          <w:spacing w:val="-7"/>
        </w:rPr>
        <w:t>automating processes and testing and establishing consistent PDFs for print, publishing </w:t>
      </w:r>
      <w:r>
        <w:rPr>
          <w:rStyle w:val="21"/>
        </w:rPr>
        <w:t>and packaging production – all available free </w:t>
      </w:r>
      <w:hyperlink w:history="1" r:id="rId11">
        <w:r>
          <w:rPr>
            <w:rStyle w:val="21"/>
          </w:rPr>
          <w:t>at</w:t>
        </w:r>
        <w:r>
          <w:rPr>
            <w:rStyle w:val="21"/>
            <w:u w:val="single" w:color="919191"/>
          </w:rPr>
          <w:t>www.gwg.org</w:t>
        </w:r>
        <w:r>
          <w:rPr>
            <w:rStyle w:val="21"/>
          </w:rPr>
          <w:t>.</w:t>
        </w:r>
      </w:hyperlink>
    </w:p>
    <w:p>
      <w:pPr>
        <w:spacing w:before="264" w:lineRule="auto" w:line="263"/>
        <w:ind w:right="30"/>
      </w:pPr>
      <w:r>
        <w:rPr>
          <w:rStyle w:val="21"/>
          <w:spacing w:val="-6"/>
        </w:rPr>
        <w:t>Members are comprised of graphic arts associations including CIP4 (Switzerland), KVGO </w:t>
      </w:r>
      <w:r>
        <w:rPr>
          <w:rStyle w:val="21"/>
          <w:spacing w:val="-1"/>
        </w:rPr>
        <w:t>(the Netherlands), Febelgra (Belgium), Fespa (UK), Medibel+ (Belgium), PDFX-ready </w:t>
      </w:r>
      <w:r>
        <w:rPr>
          <w:rStyle w:val="21"/>
          <w:spacing w:val="-10"/>
        </w:rPr>
        <w:t>(Switzerland), Printing United Alliance (USA), and VIGC (Belgium). Vendor members include </w:t>
      </w:r>
      <w:r>
        <w:rPr>
          <w:rStyle w:val="21"/>
          <w:spacing w:val="-1"/>
        </w:rPr>
        <w:t>Agfa, callas software, Canon, DALIM Software, EFI, Enfocus, Esko, Global Graphics, </w:t>
      </w:r>
      <w:r>
        <w:rPr>
          <w:rStyle w:val="21"/>
          <w:spacing w:val="-2"/>
        </w:rPr>
        <w:t>Heidelberg, HYBRID Software, Kodak, PageProof, Ricoh, Tech Research (TagG) and </w:t>
      </w:r>
      <w:r>
        <w:rPr>
          <w:rStyle w:val="21"/>
        </w:rPr>
        <w:t>Ultimate Technographics. Industry members are ArtOption, Four Pees, Igepa </w:t>
      </w:r>
      <w:r>
        <w:rPr>
          <w:rStyle w:val="21"/>
          <w:spacing w:val="-7"/>
        </w:rPr>
        <w:t>Sagamgraphic, JP/Politikens Hus, Litografia Rosés, Prinovis, RRD and ybam. Educational </w:t>
      </w:r>
      <w:r>
        <w:rPr>
          <w:rStyle w:val="21"/>
          <w:spacing w:val="-8"/>
        </w:rPr>
        <w:t>members are Arteveldehogeschool Gent, CEC LATAM, Future Schoolz India, Government </w:t>
      </w:r>
      <w:r>
        <w:rPr>
          <w:rStyle w:val="21"/>
          <w:spacing w:val="-7"/>
        </w:rPr>
        <w:t>Institute of Printing Technology (GIPT), Media University Stuttgart, Ryerson University, the University of Ljubljana, the University of Novi Sad, Universiti Teknologi MARA (UiTM), The </w:t>
      </w:r>
      <w:r>
        <w:rPr>
          <w:rStyle w:val="21"/>
        </w:rPr>
        <w:t>Regional Institute of Printing Technology Kolkata and the University of Wuppertal.</w:t>
      </w:r>
    </w:p>
    <w:p>
      <w:pPr>
        <w:sectPr>
          <w:type w:val="continuous"/>
          <w:pgSz w:w="12240" w:h="15840"/>
          <w:pgMar w:top="1440" w:bottom="0" w:left="1560" w:right="1575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40" w:bottom="0" w:left="1440" w:right="1440" w:header="0" w:footer="0"/>
        </w:sectPr>
      </w:pPr>
    </w:p>
    <w:p>
      <w:pPr>
        <w:spacing w:before="177" w:lineRule="auto" w:line="283"/>
        <w:jc w:val="both"/>
      </w:pPr>
      <w:r>
        <w:rPr>
          <w:rFonts w:ascii="Arial" w:hAnsi="Arial"/>
          <w:i/>
          <w:color w:val="919191"/>
          <w:spacing w:val="-9"/>
        </w:rPr>
        <w:t>All products and services are trademarks or registered trademarks of their respective owners and are  hereby </w:t>
      </w:r>
      <w:r>
        <w:rPr>
          <w:rFonts w:ascii="Arial" w:hAnsi="Arial"/>
          <w:i/>
          <w:color w:val="919191"/>
        </w:rPr>
        <w:t>acknowledged.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54"/>
        <w:ind w:left="343"/>
        <w:jc w:val="center"/>
      </w:pPr>
      <w:r>
        <w:rPr>
          <w:rStyle w:val="14"/>
        </w:rPr>
        <w:t>Press contacts:</w:t>
      </w:r>
    </w:p>
    <w:p>
      <w:pPr>
        <w:spacing w:before="23"/>
        <w:ind w:left="345"/>
        <w:jc w:val="center"/>
      </w:pPr>
      <w:r>
        <w:rPr>
          <w:rStyle w:val="12"/>
          <w:u w:val="single" w:color="auto"/>
        </w:rPr>
        <w:t>Ghent Workgroup</w:t>
      </w:r>
    </w:p>
    <w:p>
      <w:pPr>
        <w:spacing w:before="64"/>
        <w:ind w:left="348"/>
        <w:jc w:val="center"/>
      </w:pPr>
      <w:r>
        <w:rPr>
          <w:rStyle w:val="12"/>
        </w:rPr>
        <w:t>Christian Blaise,</w:t>
      </w:r>
    </w:p>
    <w:p>
      <w:pPr>
        <w:spacing w:before="10" w:lineRule="auto" w:line="303"/>
        <w:ind w:right="3132" w:left="3476"/>
        <w:jc w:val="center"/>
      </w:pPr>
      <w:r>
        <w:rPr>
          <w:rStyle w:val="12"/>
          <w:spacing w:val="-10"/>
        </w:rPr>
        <w:t>Carole Demeulemeester, </w:t>
      </w:r>
      <w:hyperlink w:history="1" r:id="rId12">
        <w:r>
          <w:rPr>
            <w:rStyle w:val="17"/>
            <w:u w:val="single" w:color="81024A"/>
          </w:rPr>
          <w:t>marketing@gwg.org</w:t>
        </w:r>
      </w:hyperlink>
    </w:p>
    <w:p>
      <w:pPr>
        <w:sectPr>
          <w:type w:val="continuous"/>
          <w:pgSz w:w="12240" w:h="15840"/>
          <w:pgMar w:top="1440" w:bottom="0" w:left="1560" w:right="1901" w:header="0" w:footer="0"/>
        </w:sectPr>
      </w:pP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1440" w:bottom="0" w:left="1440" w:right="1440" w:header="0" w:footer="0"/>
        </w:sectPr>
      </w:pPr>
    </w:p>
    <w:p>
      <w:pPr>
        <w:spacing w:before="131"/>
      </w:pPr>
      <w:hyperlink w:history="1" r:id="rId3">
        <w:r>
          <w:rPr>
            <w:rStyle w:val="2"/>
            <w:spacing w:val="-5"/>
          </w:rPr>
          <w:t>www.gwg.org</w:t>
        </w:r>
      </w:hyperlink>
    </w:p>
    <w:p>
      <w:pPr>
        <w:sectPr>
          <w:type w:val="continuous"/>
          <w:pgSz w:w="12240" w:h="15840"/>
          <w:pgMar w:top="1440" w:bottom="0" w:left="1560" w:right="9520" w:header="0" w:footer="0"/>
        </w:sectPr>
      </w:pPr>
    </w:p>
    <w:p>
      <w:pPr>
        <w:spacing w:lineRule="auto" w:line="14" w:before="0"/>
        <w:rPr>
          <w:sz w:val="2"/>
        </w:rPr>
      </w:pPr>
      <w:r>
        <w:drawing>
          <wp:anchor simplePos="0" relativeHeight="11" behindDoc="1" locked="0" layoutInCell="1" allowOverlap="1">
            <wp:simplePos x="0" y="0"/>
            <wp:positionH relativeFrom="page">
              <wp:posOffset>5546990</wp:posOffset>
            </wp:positionH>
            <wp:positionV relativeFrom="page">
              <wp:posOffset>424728</wp:posOffset>
            </wp:positionV>
            <wp:extent cx="1871232" cy="535957"/>
            <wp:wrapNone/>
            <wp:docPr id="13" name="Shape 13"/>
            <a:graphic>
              <a:graphicData uri="http://schemas.openxmlformats.org/drawingml/2006/picture">
                <pic:pic>
                  <pic:nvPicPr>
                    <pic:cNvPr id="13" name="Shap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32" cy="53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440" w:bottom="0" w:left="1440" w:right="1440" w:header="0" w:footer="0"/>
    </w:sectPr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ne="http://schemas.microsoft.com/office/word/2006/wordml">
  <w:abstractNum w:abstractNumId="1">
    <w:multiLevelType w:val="singleLevel"/>
    <w:lvl w:ilvl="0">
      <w:start w:val="1"/>
      <w:numFmt w:val="bullet"/>
      <w:lvlText w:val="·"/>
      <w:lvlJc w:val="left"/>
      <w:pPr>
        <w:ind w:left="1081" w:hanging="360"/>
      </w:pPr>
      <w:rPr>
        <w:rFonts w:ascii="Symbol" w:hAnsi="Symbol"/>
        <w:sz w:val="21"/>
        <w:szCs w:val="21"/>
      </w:rPr>
    </w:lvl>
  </w:abstractNum>
  <w:abstractNum w:abstractNumId="0">
    <w:multiLevelType w:val="singleLevel"/>
    <w:lvl w:ilvl="0">
      <w:start w:val="1"/>
      <w:numFmt w:val="bullet"/>
      <w:lvlText w:val="·"/>
      <w:lvlJc w:val="left"/>
      <w:pPr>
        <w:ind w:left="721" w:hanging="360"/>
      </w:pPr>
      <w:rPr>
        <w:rFonts w:ascii="Symbol" w:hAnsi="Symbol"/>
        <w:sz w:val="21"/>
        <w:szCs w:val="21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" w:default="0" w:customStyle="1">
    <w:name w:val="Paragraph style 1"/>
    <w:hidden/>
    <w:pPr>
      <w:spacing w:lineRule="exact" w:line="240"/>
    </w:pPr>
  </w:style>
  <w:style w:type="character" w:styleId="3" w:default="0" w:customStyle="1">
    <w:name w:val="Text Style 3"/>
    <w:hidden/>
    <w:rPr>
      <w:rFonts w:ascii="Arial" w:hAnsi="Arial"/>
    </w:rPr>
  </w:style>
  <w:style w:type="character" w:styleId="9" w:default="0" w:customStyle="1">
    <w:name w:val="Text Style 9"/>
    <w:hidden/>
    <w:rPr>
      <w:rFonts w:ascii="Arial" w:hAnsi="Arial"/>
      <w:sz w:val="24"/>
      <w:szCs w:val="24"/>
    </w:rPr>
  </w:style>
  <w:style w:type="character" w:styleId="12" w:default="1" w:customStyle="1">
    <w:name w:val="Default Paragraph Font"/>
    <w:unhideWhenUsed/>
    <w:rPr>
      <w:rFonts w:ascii="Arial" w:hAnsi="Arial"/>
      <w:sz w:val="21"/>
      <w:szCs w:val="21"/>
    </w:rPr>
  </w:style>
  <w:style w:type="character" w:styleId="14" w:default="0" w:customStyle="1">
    <w:name w:val="Text Style 14"/>
    <w:basedOn w:val="12"/>
    <w:hidden/>
    <w:rPr>
      <w:b/>
    </w:rPr>
  </w:style>
  <w:style w:type="character" w:styleId="17" w:default="0" w:customStyle="1">
    <w:name w:val="Text Style 17"/>
    <w:basedOn w:val="12"/>
    <w:hidden/>
    <w:rPr>
      <w:color w:val="81024A"/>
    </w:rPr>
  </w:style>
  <w:style w:type="character" w:styleId="21" w:default="0" w:customStyle="1">
    <w:name w:val="Text Style 21"/>
    <w:basedOn w:val="9"/>
    <w:hidden/>
    <w:rPr>
      <w:color w:val="919191"/>
    </w:rPr>
  </w:style>
</w:styles>
</file>

<file path=word/_rels/document.xml.rels>&#65279;<?xml version="1.0"?><Relationships xmlns='http://schemas.openxmlformats.org/package/2006/relationships'><Relationship Id='rId7' Type='http://schemas.openxmlformats.org/officeDocument/2006/relationships/image' Target='media/f9cc6ce26cc645ac.jpg'/><Relationship Id='rId3' Type='http://schemas.openxmlformats.org/officeDocument/2006/relationships/hyperlink' Target='https://www.gwg.org' TargetMode='External'/><Relationship Id='rId1' Type='http://schemas.openxmlformats.org/officeDocument/2006/relationships/hyperlink' Target='https://www.gwg.org/gos5/' TargetMode='External'/><Relationship Id='rId2' Type='http://schemas.openxmlformats.org/officeDocument/2006/relationships/image' Target='media/e773190894182453.png'/><Relationship Id='rId14' Type='http://schemas.openxmlformats.org/officeDocument/2006/relationships/numbering' Target='numbering.xml'/><Relationship Id='rId10' Type='http://schemas.openxmlformats.org/officeDocument/2006/relationships/hyperlink' Target='https://www.gwg.org/gos5/conformance-certification' TargetMode='External'/><Relationship Id='rId4' Type='http://schemas.openxmlformats.org/officeDocument/2006/relationships/image' Target='media/ad7009ab7e92b001.jpg'/><Relationship Id='rId8' Type='http://schemas.openxmlformats.org/officeDocument/2006/relationships/hyperlink' Target='https://www.fourpees.com/en/ghent-pdf-output-suite-certification-course' TargetMode='External'/><Relationship Id='rId5' Type='http://schemas.openxmlformats.org/officeDocument/2006/relationships/image' Target='media/afba98c78a47884b.png'/><Relationship Id='rId6' Type='http://schemas.openxmlformats.org/officeDocument/2006/relationships/image' Target='media/9f0f1f7f7ebdd37b.png'/><Relationship Id='rId9' Type='http://schemas.openxmlformats.org/officeDocument/2006/relationships/hyperlink' Target='http://gwg.org/gos5/conformance-certificates/' TargetMode='External'/><Relationship Id='rId12' Type='http://schemas.openxmlformats.org/officeDocument/2006/relationships/hyperlink' Target='mailto:marketing@gwg.org' TargetMode='External'/><Relationship Id='rId11' Type='http://schemas.openxmlformats.org/officeDocument/2006/relationships/hyperlink' Target='https://gwg.us11.list-manage.com/track/click?u=06cc60bfdfb54907030774dab&amp;id=492e4232e6&amp;e=d3c6923e2f' TargetMode='External'/><Relationship Id='rId13' Type='http://schemas.openxmlformats.org/officeDocument/2006/relationships/image' Target='media/1151422acdd68391.jpg'/><Relationship Id='rId15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Artoption joins GWG</dc:title>
  <dc:subject/>
  <dc:creator>Carole Demeulemeester</dc:creator>
  <cp:keywords/>
  <dc:description/>
  <cp:lastModifiedBy>Carole Demeulemeester</cp:lastModifiedBy>
  <cp:revision>1</cp:revision>
  <cp:category>pdf2docx</cp:category>
  <cp:contentStatus>Created with Avanquest.Pdf 0.91.2025103001.0</cp:contentStatus>
  <dcterms:created xsi:type="dcterms:W3CDTF">2021-11-23T14:48:04+0000</dcterms:created>
  <dcterms:modified xsi:type="dcterms:W3CDTF">2021-11-23T14:48:04+0000</dcterms:modified>
</cp:coreProperties>
</file>