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['Готовое и спелое']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18:08:16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18:08:16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