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120" w:before="120"/>
        <w:jc w:val="center"/>
      </w:pPr>
      <w:r>
        <w:rPr>
          <w:rFonts w:ascii="Arial" w:cs="Arial" w:eastAsia="Arial" w:hAnsi="Arial"/>
          <w:b/>
          <w:bCs/>
          <w:i w:val="false"/>
          <w:iCs w:val="false"/>
          <w:color w:val="7F8C8D"/>
          <w:sz w:val="20"/>
          <w:szCs w:val="20"/>
        </w:rPr>
        <w:t xml:space="preserve">VERTRAULICHE FINANZANALYSE</w:t>
      </w:r>
    </w:p>
    <w:p>
      <w:pPr>
        <w:spacing w:after="0" w:before="120"/>
      </w:pPr>
      <w:r>
        <w:t xml:space="preserve"/>
      </w:r>
    </w:p>
    <w:p>
      <w:pPr>
        <w:spacing w:after="0" w:before="0"/>
        <w:jc w:val="center"/>
      </w:pPr>
      <w:r>
        <w:rPr>
          <w:rFonts w:ascii="Arial" w:cs="Arial" w:eastAsia="Arial" w:hAnsi="Arial"/>
          <w:b/>
          <w:bCs/>
          <w:color w:val="154360"/>
          <w:sz w:val="72"/>
          <w:szCs w:val="72"/>
        </w:rPr>
        <w:t xml:space="preserve">Oleg Kober</w:t>
      </w:r>
    </w:p>
    <w:p>
      <w:pPr>
        <w:spacing w:after="80" w:before="80"/>
        <w:jc w:val="center"/>
      </w:pPr>
      <w:r>
        <w:rPr>
          <w:rFonts w:ascii="Arial" w:cs="Arial" w:eastAsia="Arial" w:hAnsi="Arial"/>
          <w:color w:val="2E4057"/>
          <w:sz w:val="32"/>
          <w:szCs w:val="32"/>
        </w:rPr>
        <w:t xml:space="preserve">Persoenliche &amp; unternehmerische Gesamtfinanzlage</w:t>
      </w:r>
    </w:p>
    <w:p>
      <w:pPr>
        <w:pBdr>
          <w:bottom w:val="single" w:color="154360" w:sz="6"/>
        </w:pBdr>
        <w:spacing w:after="80" w:before="80"/>
      </w:pPr>
      <w:r>
        <w:t xml:space="preserve"/>
      </w:r>
    </w:p>
    <w:p>
      <w:pPr>
        <w:spacing w:after="0" w:before="120"/>
      </w:pPr>
      <w:r>
        <w:t xml:space="preserve"/>
      </w:r>
    </w:p>
    <w:p>
      <w:pPr>
        <w:spacing w:after="120" w:before="120"/>
        <w:jc w:val="center"/>
      </w:pPr>
      <w:r>
        <w:rPr>
          <w:rFonts w:ascii="Arial" w:cs="Arial" w:eastAsia="Arial" w:hAnsi="Arial"/>
          <w:b w:val="false"/>
          <w:bCs w:val="false"/>
          <w:i w:val="false"/>
          <w:iCs w:val="false"/>
          <w:color w:val="7F8C8D"/>
          <w:sz w:val="22"/>
          <w:szCs w:val="22"/>
        </w:rPr>
        <w:t xml:space="preserve">Analysezeitraum: 2024 – 2026  |  Stand: 12. Juni 2026</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shd w:fill="EAF2FF" w:val="clear"/>
            <w:tcMar>
              <w:top w:type="dxa" w:w="200"/>
              <w:left w:type="dxa" w:w="240"/>
              <w:bottom w:type="dxa" w:w="200"/>
              <w:right w:type="dxa" w:w="240"/>
            </w:tcMar>
          </w:tcPr>
          <w:p>
            <w:r>
              <w:rPr>
                <w:rFonts w:ascii="Arial" w:cs="Arial" w:eastAsia="Arial" w:hAnsi="Arial"/>
                <w:b/>
                <w:bCs/>
                <w:color w:val="154360"/>
                <w:sz w:val="22"/>
                <w:szCs w:val="22"/>
              </w:rPr>
              <w:t xml:space="preserve">Enthaltene Bereiche</w:t>
            </w:r>
          </w:p>
          <w:p>
            <w:r>
              <w:rPr>
                <w:rFonts w:ascii="Arial" w:cs="Arial" w:eastAsia="Arial" w:hAnsi="Arial"/>
                <w:color w:val="1C2833"/>
                <w:sz w:val="20"/>
                <w:szCs w:val="20"/>
              </w:rPr>
              <w:t xml:space="preserve">Wagglz GmbH (Jahresabschluss 2024, DATEV)</w:t>
            </w:r>
          </w:p>
          <w:p>
            <w:r>
              <w:rPr>
                <w:rFonts w:ascii="Arial" w:cs="Arial" w:eastAsia="Arial" w:hAnsi="Arial"/>
                <w:color w:val="1C2833"/>
                <w:sz w:val="20"/>
                <w:szCs w:val="20"/>
              </w:rPr>
              <w:t xml:space="preserve">Privat Consorsbank Jan-Mai 2026</w:t>
            </w:r>
          </w:p>
          <w:p>
            <w:r>
              <w:rPr>
                <w:rFonts w:ascii="Arial" w:cs="Arial" w:eastAsia="Arial" w:hAnsi="Arial"/>
                <w:color w:val="1C2833"/>
                <w:sz w:val="20"/>
                <w:szCs w:val="20"/>
              </w:rPr>
              <w:t xml:space="preserve">VW Bank Kredit (Restlaufzeit 29 Monate)</w:t>
            </w:r>
          </w:p>
          <w:p>
            <w:r>
              <w:rPr>
                <w:rFonts w:ascii="Arial" w:cs="Arial" w:eastAsia="Arial" w:hAnsi="Arial"/>
                <w:color w:val="1C2833"/>
                <w:sz w:val="20"/>
                <w:szCs w:val="20"/>
              </w:rPr>
              <w:t xml:space="preserve">Splitwise (the-mochi-s: 1.494 Buchungen)</w:t>
            </w:r>
          </w:p>
        </w:tc>
        <w:tc>
          <w:tcPr>
            <w:tcW w:type="dxa" w:w="4600"/>
            <w:tcBorders>
              <w:top w:val="none" w:color="FFFFFF" w:sz="0"/>
              <w:left w:val="none" w:color="FFFFFF" w:sz="0"/>
              <w:bottom w:val="none" w:color="FFFFFF" w:sz="0"/>
              <w:right w:val="none" w:color="FFFFFF" w:sz="0"/>
            </w:tcBorders>
            <w:shd w:fill="FADBD8" w:val="clear"/>
            <w:tcMar>
              <w:top w:type="dxa" w:w="200"/>
              <w:left w:type="dxa" w:w="240"/>
              <w:bottom w:type="dxa" w:w="200"/>
              <w:right w:type="dxa" w:w="240"/>
            </w:tcMar>
          </w:tcPr>
          <w:p>
            <w:r>
              <w:rPr>
                <w:rFonts w:ascii="Arial" w:cs="Arial" w:eastAsia="Arial" w:hAnsi="Arial"/>
                <w:b/>
                <w:bCs/>
                <w:color w:val="C0392B"/>
                <w:sz w:val="22"/>
                <w:szCs w:val="22"/>
              </w:rPr>
              <w:t xml:space="preserve">Kritische Befunde</w:t>
            </w:r>
          </w:p>
          <w:p>
            <w:r>
              <w:rPr>
                <w:rFonts w:ascii="Arial" w:cs="Arial" w:eastAsia="Arial" w:hAnsi="Arial"/>
                <w:color w:val="1C2833"/>
                <w:sz w:val="20"/>
                <w:szCs w:val="20"/>
              </w:rPr>
              <w:t xml:space="preserve">Wagglz GmbH: Ueberschuldung §19 InsO</w:t>
            </w:r>
          </w:p>
          <w:p>
            <w:r>
              <w:rPr>
                <w:rFonts w:ascii="Arial" w:cs="Arial" w:eastAsia="Arial" w:hAnsi="Arial"/>
                <w:color w:val="1C2833"/>
                <w:sz w:val="20"/>
                <w:szCs w:val="20"/>
              </w:rPr>
              <w:t xml:space="preserve">Jahresfehlbetrag 2024: -40.427 EUR</w:t>
            </w:r>
          </w:p>
          <w:p>
            <w:r>
              <w:rPr>
                <w:rFonts w:ascii="Arial" w:cs="Arial" w:eastAsia="Arial" w:hAnsi="Arial"/>
                <w:color w:val="1C2833"/>
                <w:sz w:val="20"/>
                <w:szCs w:val="20"/>
              </w:rPr>
              <w:t xml:space="preserve">Umsatz 2024: 0 EUR (kein Erloesmonat!)</w:t>
            </w:r>
          </w:p>
          <w:p>
            <w:r>
              <w:rPr>
                <w:rFonts w:ascii="Arial" w:cs="Arial" w:eastAsia="Arial" w:hAnsi="Arial"/>
                <w:color w:val="1C2833"/>
                <w:sz w:val="20"/>
                <w:szCs w:val="20"/>
              </w:rPr>
              <w:t xml:space="preserve">Gesellschafterdarlehen: 29.397 EUR ungesichert</w:t>
            </w:r>
          </w:p>
        </w:tc>
      </w:tr>
    </w:tbl>
    <w:p>
      <w:pPr>
        <w:spacing w:after="0" w:before="360"/>
      </w:pPr>
      <w:r>
        <w:t xml:space="preserve"/>
      </w:r>
    </w:p>
    <w:p>
      <w:pPr>
        <w:spacing w:after="120" w:before="120"/>
        <w:jc w:val="center"/>
      </w:pPr>
      <w:r>
        <w:rPr>
          <w:rFonts w:ascii="Arial" w:cs="Arial" w:eastAsia="Arial" w:hAnsi="Arial"/>
          <w:b w:val="false"/>
          <w:bCs w:val="false"/>
          <w:i w:val="false"/>
          <w:iCs w:val="false"/>
          <w:color w:val="7F8C8D"/>
          <w:sz w:val="18"/>
          <w:szCs w:val="18"/>
        </w:rPr>
        <w:t xml:space="preserve">Quellen: JA 2024 (SP Steuerberatungsges. mbH &amp; KG, DATEV), Consorsbank Kontoauszuege 01-05/2026,</w:t>
      </w:r>
    </w:p>
    <w:p>
      <w:pPr>
        <w:spacing w:after="120" w:before="120"/>
        <w:jc w:val="center"/>
      </w:pPr>
      <w:r>
        <w:rPr>
          <w:rFonts w:ascii="Arial" w:cs="Arial" w:eastAsia="Arial" w:hAnsi="Arial"/>
          <w:b w:val="false"/>
          <w:bCs w:val="false"/>
          <w:i w:val="false"/>
          <w:iCs w:val="false"/>
          <w:color w:val="7F8C8D"/>
          <w:sz w:val="18"/>
          <w:szCs w:val="18"/>
        </w:rPr>
        <w:t xml:space="preserve">Splitwise Export 11.06.2026, VW Bank Kreditinformationen, BWA 2025</w:t>
      </w:r>
    </w:p>
    <w:p>
      <w:r>
        <w:br w:type="page"/>
      </w:r>
    </w:p>
    <w:p>
      <w:pPr>
        <w:pStyle w:val="Heading1"/>
        <w:spacing w:after="180" w:before="360"/>
      </w:pPr>
      <w:r>
        <w:rPr>
          <w:rFonts w:ascii="Arial" w:cs="Arial" w:eastAsia="Arial" w:hAnsi="Arial"/>
          <w:b/>
          <w:bCs/>
          <w:color w:val="154360"/>
          <w:sz w:val="36"/>
          <w:szCs w:val="36"/>
        </w:rPr>
        <w:t xml:space="preserve">Executive Summary</w:t>
      </w:r>
    </w:p>
    <w:p>
      <w:pPr>
        <w:pBdr>
          <w:bottom w:val="single" w:color="154360" w:sz="6"/>
        </w:pBdr>
        <w:spacing w:after="80" w:before="80"/>
      </w:pPr>
      <w:r>
        <w:t xml:space="preserve"/>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ADBD8" w:val="clear"/>
            <w:tcMar>
              <w:top w:type="dxa" w:w="120"/>
              <w:left w:type="dxa" w:w="180"/>
              <w:bottom w:type="dxa" w:w="120"/>
              <w:right w:type="dxa" w:w="180"/>
            </w:tcMar>
          </w:tcPr>
          <w:p>
            <w:r>
              <w:rPr>
                <w:rFonts w:ascii="Arial" w:cs="Arial" w:eastAsia="Arial" w:hAnsi="Arial"/>
                <w:b/>
                <w:bCs/>
                <w:color w:val="1C2833"/>
                <w:sz w:val="20"/>
                <w:szCs w:val="20"/>
              </w:rPr>
              <w:t xml:space="preserve">⚠ KRITISCH: </w:t>
            </w:r>
            <w:r>
              <w:rPr>
                <w:rFonts w:ascii="Arial" w:cs="Arial" w:eastAsia="Arial" w:hAnsi="Arial"/>
                <w:color w:val="1C2833"/>
                <w:sz w:val="20"/>
                <w:szCs w:val="20"/>
              </w:rPr>
              <w:t xml:space="preserve">Wagglz GmbH ist bilanziell ueberschuldet (§19 InsO). Nicht durch EK gedeckter Fehlbetrag: 27.927 EUR. Ohne formellen Rangruecktritt des Gesellschafterdarlehens (29.397 EUR) besteht grundsaetzlich Insolvenzantragspflicht nach §15a InsO.</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r>
              <w:rPr>
                <w:rFonts w:ascii="Arial" w:cs="Arial" w:eastAsia="Arial" w:hAnsi="Arial"/>
                <w:b/>
                <w:bCs/>
                <w:color w:val="1C2833"/>
                <w:sz w:val="20"/>
                <w:szCs w:val="20"/>
              </w:rPr>
              <w:t xml:space="preserve">▲ ACHTUNG: </w:t>
            </w:r>
            <w:r>
              <w:rPr>
                <w:rFonts w:ascii="Arial" w:cs="Arial" w:eastAsia="Arial" w:hAnsi="Arial"/>
                <w:color w:val="1C2833"/>
                <w:sz w:val="20"/>
                <w:szCs w:val="20"/>
              </w:rPr>
              <w:t xml:space="preserve">Umsatz 2024: NULL. Die GmbH hatte vom 30.04. bis 31.12.2024 (8 Monate) KEINEN steuerpflichtigen Erlos. Gesamtaufwand: 38.662 EUR. Kostenstruktur ist fundamental nicht tragfaehig ohne Einnahmen.</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r>
              <w:rPr>
                <w:rFonts w:ascii="Arial" w:cs="Arial" w:eastAsia="Arial" w:hAnsi="Arial"/>
                <w:b/>
                <w:bCs/>
                <w:color w:val="1C2833"/>
                <w:sz w:val="20"/>
                <w:szCs w:val="20"/>
              </w:rPr>
              <w:t xml:space="preserve">ℹ </w:t>
            </w:r>
            <w:r>
              <w:rPr>
                <w:rFonts w:ascii="Arial" w:cs="Arial" w:eastAsia="Arial" w:hAnsi="Arial"/>
                <w:color w:val="1C2833"/>
                <w:sz w:val="20"/>
                <w:szCs w:val="20"/>
              </w:rPr>
              <w:t xml:space="preserve">Privat: Stabil aber Kreditbelastung hoch. VW-Kredit 18.858 EUR / 29 Monate = 681,57 EUR/Monat. Consorsbank Dispo -1.405 EUR (Stand Jun 2026). Einnahmenquelle Doctolib solide (~3.639 EUR/Monat).</w:t>
            </w:r>
          </w:p>
        </w:tc>
      </w:tr>
    </w:tbl>
    <w:p>
      <w:pPr>
        <w:spacing w:after="0" w:before="120"/>
      </w:pPr>
      <w:r>
        <w:t xml:space="preserve"/>
      </w:r>
    </w:p>
    <w:p>
      <w:pPr>
        <w:pStyle w:val="Heading2"/>
        <w:spacing w:after="140" w:before="280"/>
      </w:pPr>
      <w:r>
        <w:rPr>
          <w:rFonts w:ascii="Arial" w:cs="Arial" w:eastAsia="Arial" w:hAnsi="Arial"/>
          <w:b/>
          <w:bCs/>
          <w:color w:val="1A5276"/>
          <w:sz w:val="28"/>
          <w:szCs w:val="28"/>
        </w:rPr>
        <w:t xml:space="preserve">Gesamtlage auf einen Blick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DDDDDD" w:sz="4"/>
              <w:left w:val="single" w:color="DDDDDD" w:sz="4"/>
              <w:bottom w:val="single" w:color="DDDDDD" w:sz="4"/>
              <w:right w:val="single" w:color="DDDDDD" w:sz="4"/>
            </w:tcBorders>
            <w:shd w:fill="FADBD8" w:val="clear"/>
            <w:tcMar>
              <w:top w:type="dxa" w:w="100"/>
              <w:left w:type="dxa" w:w="140"/>
              <w:bottom w:type="dxa" w:w="100"/>
              <w:right w:type="dxa" w:w="140"/>
            </w:tcMar>
          </w:tcPr>
          <w:p>
            <w:r>
              <w:rPr>
                <w:rFonts w:ascii="Arial" w:cs="Arial" w:eastAsia="Arial" w:hAnsi="Arial"/>
                <w:color w:val="7F8C8D"/>
                <w:sz w:val="18"/>
                <w:szCs w:val="18"/>
              </w:rPr>
              <w:t xml:space="preserve">Wagglz Jahresfehlbetrag 2024</w:t>
            </w:r>
          </w:p>
          <w:p>
            <w:r>
              <w:rPr>
                <w:rFonts w:ascii="Arial" w:cs="Arial" w:eastAsia="Arial" w:hAnsi="Arial"/>
                <w:b/>
                <w:bCs/>
                <w:color w:val="1C2833"/>
                <w:sz w:val="26"/>
                <w:szCs w:val="26"/>
              </w:rPr>
              <w:t xml:space="preserve">-40.427 EUR</w:t>
            </w:r>
          </w:p>
        </w:tc>
        <w:tc>
          <w:tcPr>
            <w:tcW w:type="dxa" w:w="3066"/>
            <w:tcBorders>
              <w:top w:val="single" w:color="DDDDDD" w:sz="4"/>
              <w:left w:val="single" w:color="DDDDDD" w:sz="4"/>
              <w:bottom w:val="single" w:color="DDDDDD" w:sz="4"/>
              <w:right w:val="single" w:color="DDDDDD" w:sz="4"/>
            </w:tcBorders>
            <w:shd w:fill="FADBD8" w:val="clear"/>
            <w:tcMar>
              <w:top w:type="dxa" w:w="100"/>
              <w:left w:type="dxa" w:w="140"/>
              <w:bottom w:type="dxa" w:w="100"/>
              <w:right w:type="dxa" w:w="140"/>
            </w:tcMar>
          </w:tcPr>
          <w:p>
            <w:r>
              <w:rPr>
                <w:rFonts w:ascii="Arial" w:cs="Arial" w:eastAsia="Arial" w:hAnsi="Arial"/>
                <w:color w:val="7F8C8D"/>
                <w:sz w:val="18"/>
                <w:szCs w:val="18"/>
              </w:rPr>
              <w:t xml:space="preserve">Wagglz Umsatz 2024</w:t>
            </w:r>
          </w:p>
          <w:p>
            <w:r>
              <w:rPr>
                <w:rFonts w:ascii="Arial" w:cs="Arial" w:eastAsia="Arial" w:hAnsi="Arial"/>
                <w:b/>
                <w:bCs/>
                <w:color w:val="1C2833"/>
                <w:sz w:val="26"/>
                <w:szCs w:val="26"/>
              </w:rPr>
              <w:t xml:space="preserve">0 EUR</w:t>
            </w:r>
          </w:p>
        </w:tc>
        <w:tc>
          <w:tcPr>
            <w:tcW w:type="dxa" w:w="3066"/>
            <w:tcBorders>
              <w:top w:val="single" w:color="DDDDDD" w:sz="4"/>
              <w:left w:val="single" w:color="DDDDDD" w:sz="4"/>
              <w:bottom w:val="single" w:color="DDDDDD" w:sz="4"/>
              <w:right w:val="single" w:color="DDDDDD" w:sz="4"/>
            </w:tcBorders>
            <w:shd w:fill="FADBD8" w:val="clear"/>
            <w:tcMar>
              <w:top w:type="dxa" w:w="100"/>
              <w:left w:type="dxa" w:w="140"/>
              <w:bottom w:type="dxa" w:w="100"/>
              <w:right w:type="dxa" w:w="140"/>
            </w:tcMar>
          </w:tcPr>
          <w:p>
            <w:r>
              <w:rPr>
                <w:rFonts w:ascii="Arial" w:cs="Arial" w:eastAsia="Arial" w:hAnsi="Arial"/>
                <w:color w:val="7F8C8D"/>
                <w:sz w:val="18"/>
                <w:szCs w:val="18"/>
              </w:rPr>
              <w:t xml:space="preserve">Ueberschuldungsbetrag §19 InsO</w:t>
            </w:r>
          </w:p>
          <w:p>
            <w:r>
              <w:rPr>
                <w:rFonts w:ascii="Arial" w:cs="Arial" w:eastAsia="Arial" w:hAnsi="Arial"/>
                <w:b/>
                <w:bCs/>
                <w:color w:val="1C2833"/>
                <w:sz w:val="26"/>
                <w:szCs w:val="26"/>
              </w:rPr>
              <w:t xml:space="preserve">-27.927 EUR</w:t>
            </w:r>
          </w:p>
        </w:tc>
      </w:tr>
      <w:tr>
        <w:tc>
          <w:tcPr>
            <w:tcW w:type="dxa" w:w="3066"/>
            <w:tcBorders>
              <w:top w:val="single" w:color="DDDDDD" w:sz="4"/>
              <w:left w:val="single" w:color="DDDDDD" w:sz="4"/>
              <w:bottom w:val="single" w:color="DDDDDD" w:sz="4"/>
              <w:right w:val="single" w:color="DDDDDD" w:sz="4"/>
            </w:tcBorders>
            <w:shd w:fill="FDEBD0" w:val="clear"/>
            <w:tcMar>
              <w:top w:type="dxa" w:w="100"/>
              <w:left w:type="dxa" w:w="140"/>
              <w:bottom w:type="dxa" w:w="100"/>
              <w:right w:type="dxa" w:w="140"/>
            </w:tcMar>
          </w:tcPr>
          <w:p>
            <w:r>
              <w:rPr>
                <w:rFonts w:ascii="Arial" w:cs="Arial" w:eastAsia="Arial" w:hAnsi="Arial"/>
                <w:color w:val="7F8C8D"/>
                <w:sz w:val="18"/>
                <w:szCs w:val="18"/>
              </w:rPr>
              <w:t xml:space="preserve">Gesellschafterdarlehen</w:t>
            </w:r>
          </w:p>
          <w:p>
            <w:r>
              <w:rPr>
                <w:rFonts w:ascii="Arial" w:cs="Arial" w:eastAsia="Arial" w:hAnsi="Arial"/>
                <w:b/>
                <w:bCs/>
                <w:color w:val="1C2833"/>
                <w:sz w:val="26"/>
                <w:szCs w:val="26"/>
              </w:rPr>
              <w:t xml:space="preserve">29.397 EUR</w:t>
            </w:r>
          </w:p>
        </w:tc>
        <w:tc>
          <w:tcPr>
            <w:tcW w:type="dxa" w:w="3066"/>
            <w:tcBorders>
              <w:top w:val="single" w:color="DDDDDD" w:sz="4"/>
              <w:left w:val="single" w:color="DDDDDD" w:sz="4"/>
              <w:bottom w:val="single" w:color="DDDDDD" w:sz="4"/>
              <w:right w:val="single" w:color="DDDDDD" w:sz="4"/>
            </w:tcBorders>
            <w:shd w:fill="FDEBD0" w:val="clear"/>
            <w:tcMar>
              <w:top w:type="dxa" w:w="100"/>
              <w:left w:type="dxa" w:w="140"/>
              <w:bottom w:type="dxa" w:w="100"/>
              <w:right w:type="dxa" w:w="140"/>
            </w:tcMar>
          </w:tcPr>
          <w:p>
            <w:r>
              <w:rPr>
                <w:rFonts w:ascii="Arial" w:cs="Arial" w:eastAsia="Arial" w:hAnsi="Arial"/>
                <w:color w:val="7F8C8D"/>
                <w:sz w:val="18"/>
                <w:szCs w:val="18"/>
              </w:rPr>
              <w:t xml:space="preserve">Verlustvortrag KSt 31.12.2024</w:t>
            </w:r>
          </w:p>
          <w:p>
            <w:r>
              <w:rPr>
                <w:rFonts w:ascii="Arial" w:cs="Arial" w:eastAsia="Arial" w:hAnsi="Arial"/>
                <w:b/>
                <w:bCs/>
                <w:color w:val="1C2833"/>
                <w:sz w:val="26"/>
                <w:szCs w:val="26"/>
              </w:rPr>
              <w:t xml:space="preserve">39.996 EUR</w:t>
            </w:r>
          </w:p>
        </w:tc>
        <w:tc>
          <w:tcPr>
            <w:tcW w:type="dxa" w:w="3066"/>
            <w:tcBorders>
              <w:top w:val="single" w:color="DDDDDD" w:sz="4"/>
              <w:left w:val="single" w:color="DDDDDD" w:sz="4"/>
              <w:bottom w:val="single" w:color="DDDDDD" w:sz="4"/>
              <w:right w:val="single" w:color="DDDDDD" w:sz="4"/>
            </w:tcBorders>
            <w:shd w:fill="FDEBD0" w:val="clear"/>
            <w:tcMar>
              <w:top w:type="dxa" w:w="100"/>
              <w:left w:type="dxa" w:w="140"/>
              <w:bottom w:type="dxa" w:w="100"/>
              <w:right w:type="dxa" w:w="140"/>
            </w:tcMar>
          </w:tcPr>
          <w:p>
            <w:r>
              <w:rPr>
                <w:rFonts w:ascii="Arial" w:cs="Arial" w:eastAsia="Arial" w:hAnsi="Arial"/>
                <w:color w:val="7F8C8D"/>
                <w:sz w:val="18"/>
                <w:szCs w:val="18"/>
              </w:rPr>
              <w:t xml:space="preserve">Privat Consorsbank (Jun 26)</w:t>
            </w:r>
          </w:p>
          <w:p>
            <w:r>
              <w:rPr>
                <w:rFonts w:ascii="Arial" w:cs="Arial" w:eastAsia="Arial" w:hAnsi="Arial"/>
                <w:b/>
                <w:bCs/>
                <w:color w:val="1C2833"/>
                <w:sz w:val="26"/>
                <w:szCs w:val="26"/>
              </w:rPr>
              <w:t xml:space="preserve">-1.405 EUR</w:t>
            </w:r>
          </w:p>
        </w:tc>
      </w:tr>
      <w:tr>
        <w:tc>
          <w:tcPr>
            <w:tcW w:type="dxa" w:w="3066"/>
            <w:tcBorders>
              <w:top w:val="single" w:color="DDDDDD" w:sz="4"/>
              <w:left w:val="single" w:color="DDDDDD" w:sz="4"/>
              <w:bottom w:val="single" w:color="DDDDDD" w:sz="4"/>
              <w:right w:val="single" w:color="DDDDDD" w:sz="4"/>
            </w:tcBorders>
            <w:shd w:fill="FDEBD0" w:val="clear"/>
            <w:tcMar>
              <w:top w:type="dxa" w:w="100"/>
              <w:left w:type="dxa" w:w="140"/>
              <w:bottom w:type="dxa" w:w="100"/>
              <w:right w:type="dxa" w:w="140"/>
            </w:tcMar>
          </w:tcPr>
          <w:p>
            <w:r>
              <w:rPr>
                <w:rFonts w:ascii="Arial" w:cs="Arial" w:eastAsia="Arial" w:hAnsi="Arial"/>
                <w:color w:val="7F8C8D"/>
                <w:sz w:val="18"/>
                <w:szCs w:val="18"/>
              </w:rPr>
              <w:t xml:space="preserve">VW Kredit Restschuld</w:t>
            </w:r>
          </w:p>
          <w:p>
            <w:r>
              <w:rPr>
                <w:rFonts w:ascii="Arial" w:cs="Arial" w:eastAsia="Arial" w:hAnsi="Arial"/>
                <w:b/>
                <w:bCs/>
                <w:color w:val="1C2833"/>
                <w:sz w:val="26"/>
                <w:szCs w:val="26"/>
              </w:rPr>
              <w:t xml:space="preserve">18.858 EUR</w:t>
            </w:r>
          </w:p>
        </w:tc>
        <w:tc>
          <w:tcPr>
            <w:tcW w:type="dxa" w:w="3066"/>
            <w:tcBorders>
              <w:top w:val="single" w:color="DDDDDD" w:sz="4"/>
              <w:left w:val="single" w:color="DDDDDD" w:sz="4"/>
              <w:bottom w:val="single" w:color="DDDDDD" w:sz="4"/>
              <w:right w:val="single" w:color="DDDDDD" w:sz="4"/>
            </w:tcBorders>
            <w:shd w:fill="D5F5E3" w:val="clear"/>
            <w:tcMar>
              <w:top w:type="dxa" w:w="100"/>
              <w:left w:type="dxa" w:w="140"/>
              <w:bottom w:type="dxa" w:w="100"/>
              <w:right w:type="dxa" w:w="140"/>
            </w:tcMar>
          </w:tcPr>
          <w:p>
            <w:r>
              <w:rPr>
                <w:rFonts w:ascii="Arial" w:cs="Arial" w:eastAsia="Arial" w:hAnsi="Arial"/>
                <w:color w:val="7F8C8D"/>
                <w:sz w:val="18"/>
                <w:szCs w:val="18"/>
              </w:rPr>
              <w:t xml:space="preserve">Privat Netto Jan-Mai 2026</w:t>
            </w:r>
          </w:p>
          <w:p>
            <w:r>
              <w:rPr>
                <w:rFonts w:ascii="Arial" w:cs="Arial" w:eastAsia="Arial" w:hAnsi="Arial"/>
                <w:b/>
                <w:bCs/>
                <w:color w:val="1C2833"/>
                <w:sz w:val="26"/>
                <w:szCs w:val="26"/>
              </w:rPr>
              <w:t xml:space="preserve">+4.061 EUR</w:t>
            </w:r>
          </w:p>
        </w:tc>
        <w:tc>
          <w:tcPr>
            <w:tcW w:type="dxa" w:w="3066"/>
            <w:tcBorders>
              <w:top w:val="single" w:color="DDDDDD" w:sz="4"/>
              <w:left w:val="single" w:color="DDDDDD" w:sz="4"/>
              <w:bottom w:val="single" w:color="DDDDDD" w:sz="4"/>
              <w:right w:val="single" w:color="DDDDDD" w:sz="4"/>
            </w:tcBorders>
            <w:shd w:fill="D5F5E3" w:val="clear"/>
            <w:tcMar>
              <w:top w:type="dxa" w:w="100"/>
              <w:left w:type="dxa" w:w="140"/>
              <w:bottom w:type="dxa" w:w="100"/>
              <w:right w:type="dxa" w:w="140"/>
            </w:tcMar>
          </w:tcPr>
          <w:p>
            <w:r>
              <w:rPr>
                <w:rFonts w:ascii="Arial" w:cs="Arial" w:eastAsia="Arial" w:hAnsi="Arial"/>
                <w:color w:val="7F8C8D"/>
                <w:sz w:val="18"/>
                <w:szCs w:val="18"/>
              </w:rPr>
              <w:t xml:space="preserve">Doctolib Monatseinkommen</w:t>
            </w:r>
          </w:p>
          <w:p>
            <w:r>
              <w:rPr>
                <w:rFonts w:ascii="Arial" w:cs="Arial" w:eastAsia="Arial" w:hAnsi="Arial"/>
                <w:b/>
                <w:bCs/>
                <w:color w:val="1C2833"/>
                <w:sz w:val="26"/>
                <w:szCs w:val="26"/>
              </w:rPr>
              <w:t xml:space="preserve">~3.639 EUR</w:t>
            </w:r>
          </w:p>
        </w:tc>
      </w:tr>
      <w:tr>
        <w:tc>
          <w:tcPr>
            <w:tcW w:type="dxa" w:w="3066"/>
            <w:tcBorders>
              <w:top w:val="single" w:color="DDDDDD" w:sz="4"/>
              <w:left w:val="single" w:color="DDDDDD" w:sz="4"/>
              <w:bottom w:val="single" w:color="DDDDDD" w:sz="4"/>
              <w:right w:val="single" w:color="DDDDDD" w:sz="4"/>
            </w:tcBorders>
            <w:shd w:fill="D5F5E3" w:val="clear"/>
            <w:tcMar>
              <w:top w:type="dxa" w:w="100"/>
              <w:left w:type="dxa" w:w="140"/>
              <w:bottom w:type="dxa" w:w="100"/>
              <w:right w:type="dxa" w:w="140"/>
            </w:tcMar>
          </w:tcPr>
          <w:p>
            <w:r>
              <w:rPr>
                <w:rFonts w:ascii="Arial" w:cs="Arial" w:eastAsia="Arial" w:hAnsi="Arial"/>
                <w:color w:val="7F8C8D"/>
                <w:sz w:val="18"/>
                <w:szCs w:val="18"/>
              </w:rPr>
              <w:t xml:space="preserve">USt-Erstattungsanspruch</w:t>
            </w:r>
          </w:p>
          <w:p>
            <w:r>
              <w:rPr>
                <w:rFonts w:ascii="Arial" w:cs="Arial" w:eastAsia="Arial" w:hAnsi="Arial"/>
                <w:b/>
                <w:bCs/>
                <w:color w:val="1C2833"/>
                <w:sz w:val="26"/>
                <w:szCs w:val="26"/>
              </w:rPr>
              <w:t xml:space="preserve">+201 EUR</w:t>
            </w:r>
          </w:p>
        </w:tc>
        <w:tc>
          <w:tcPr>
            <w:tcW w:type="dxa" w:w="3066"/>
            <w:tcBorders>
              <w:top w:val="single" w:color="DDDDDD" w:sz="4"/>
              <w:left w:val="single" w:color="DDDDDD" w:sz="4"/>
              <w:bottom w:val="single" w:color="DDDDDD" w:sz="4"/>
              <w:right w:val="single" w:color="DDDDDD" w:sz="4"/>
            </w:tcBorders>
            <w:shd w:fill="FDEBD0" w:val="clear"/>
            <w:tcMar>
              <w:top w:type="dxa" w:w="100"/>
              <w:left w:type="dxa" w:w="140"/>
              <w:bottom w:type="dxa" w:w="100"/>
              <w:right w:type="dxa" w:w="140"/>
            </w:tcMar>
          </w:tcPr>
          <w:p>
            <w:r>
              <w:rPr>
                <w:rFonts w:ascii="Arial" w:cs="Arial" w:eastAsia="Arial" w:hAnsi="Arial"/>
                <w:color w:val="7F8C8D"/>
                <w:sz w:val="18"/>
                <w:szCs w:val="18"/>
              </w:rPr>
              <w:t xml:space="preserve">Wagglz Bankguthaben 31.12.24</w:t>
            </w:r>
          </w:p>
          <w:p>
            <w:r>
              <w:rPr>
                <w:rFonts w:ascii="Arial" w:cs="Arial" w:eastAsia="Arial" w:hAnsi="Arial"/>
                <w:b/>
                <w:bCs/>
                <w:color w:val="1C2833"/>
                <w:sz w:val="26"/>
                <w:szCs w:val="26"/>
              </w:rPr>
              <w:t xml:space="preserve">2.388 EUR</w:t>
            </w:r>
          </w:p>
        </w:tc>
        <w:tc>
          <w:tcPr>
            <w:tcW w:type="dxa" w:w="3066"/>
            <w:tcBorders>
              <w:top w:val="single" w:color="DDDDDD" w:sz="4"/>
              <w:left w:val="single" w:color="DDDDDD" w:sz="4"/>
              <w:bottom w:val="single" w:color="DDDDDD" w:sz="4"/>
              <w:right w:val="single" w:color="DDDDDD" w:sz="4"/>
            </w:tcBorders>
            <w:shd w:fill="FDEBD0" w:val="clear"/>
            <w:tcMar>
              <w:top w:type="dxa" w:w="100"/>
              <w:left w:type="dxa" w:w="140"/>
              <w:bottom w:type="dxa" w:w="100"/>
              <w:right w:type="dxa" w:w="140"/>
            </w:tcMar>
          </w:tcPr>
          <w:p>
            <w:r>
              <w:rPr>
                <w:rFonts w:ascii="Arial" w:cs="Arial" w:eastAsia="Arial" w:hAnsi="Arial"/>
                <w:color w:val="7F8C8D"/>
                <w:sz w:val="18"/>
                <w:szCs w:val="18"/>
              </w:rPr>
              <w:t xml:space="preserve">Wagglz Verlustvortrag GewSt</w:t>
            </w:r>
          </w:p>
          <w:p>
            <w:r>
              <w:rPr>
                <w:rFonts w:ascii="Arial" w:cs="Arial" w:eastAsia="Arial" w:hAnsi="Arial"/>
                <w:b/>
                <w:bCs/>
                <w:color w:val="1C2833"/>
                <w:sz w:val="26"/>
                <w:szCs w:val="26"/>
              </w:rPr>
              <w:t xml:space="preserve">39.996 EUR</w:t>
            </w:r>
          </w:p>
        </w:tc>
      </w:tr>
    </w:tbl>
    <w:p>
      <w:r>
        <w:br w:type="page"/>
      </w:r>
    </w:p>
    <w:p>
      <w:pPr>
        <w:pStyle w:val="Heading1"/>
        <w:spacing w:after="180" w:before="360"/>
      </w:pPr>
      <w:r>
        <w:rPr>
          <w:rFonts w:ascii="Arial" w:cs="Arial" w:eastAsia="Arial" w:hAnsi="Arial"/>
          <w:b/>
          <w:bCs/>
          <w:color w:val="154360"/>
          <w:sz w:val="36"/>
          <w:szCs w:val="36"/>
        </w:rPr>
        <w:t xml:space="preserve">1. Finance Director — Zahlenanalyse</w:t>
      </w:r>
    </w:p>
    <w:p>
      <w:pPr>
        <w:pBdr>
          <w:bottom w:val="single" w:color="154360" w:sz="6"/>
        </w:pBdr>
        <w:spacing w:after="80" w:before="80"/>
      </w:pPr>
      <w:r>
        <w:t xml:space="preserve"/>
      </w:r>
    </w:p>
    <w:p>
      <w:pPr>
        <w:pStyle w:val="Heading2"/>
        <w:spacing w:after="140" w:before="280"/>
      </w:pPr>
      <w:r>
        <w:rPr>
          <w:rFonts w:ascii="Arial" w:cs="Arial" w:eastAsia="Arial" w:hAnsi="Arial"/>
          <w:b/>
          <w:bCs/>
          <w:color w:val="1A5276"/>
          <w:sz w:val="28"/>
          <w:szCs w:val="28"/>
        </w:rPr>
        <w:t xml:space="preserve">1.1 Wagglz GmbH: Jahresabschluss 2024 (DATEV-verifiziert)</w:t>
      </w:r>
    </w:p>
    <w:p>
      <w:pPr>
        <w:spacing w:after="120" w:before="120"/>
        <w:jc w:val="left"/>
      </w:pPr>
      <w:r>
        <w:rPr>
          <w:rFonts w:ascii="Arial" w:cs="Arial" w:eastAsia="Arial" w:hAnsi="Arial"/>
          <w:b w:val="false"/>
          <w:bCs w:val="false"/>
          <w:i w:val="false"/>
          <w:iCs w:val="false"/>
          <w:color w:val="7F8C8D"/>
          <w:sz w:val="22"/>
          <w:szCs w:val="22"/>
        </w:rPr>
        <w:t xml:space="preserve">Geschaeftsjahr: 30.04.2024 – 31.12.2024 (nur 8 Monate). Erstellt von SP Steuerberatungsges. mbH &amp; KG, festgestellt am 30.06.2025.</w:t>
      </w:r>
    </w:p>
    <w:p>
      <w:pPr>
        <w:spacing w:after="0" w:before="120"/>
      </w:pPr>
      <w:r>
        <w:t xml:space="preserve"/>
      </w:r>
    </w:p>
    <w:p>
      <w:pPr>
        <w:pStyle w:val="Heading3"/>
        <w:spacing w:after="100" w:before="200"/>
      </w:pPr>
      <w:r>
        <w:rPr>
          <w:rFonts w:ascii="Arial" w:cs="Arial" w:eastAsia="Arial" w:hAnsi="Arial"/>
          <w:b/>
          <w:bCs/>
          <w:color w:val="2E4057"/>
          <w:sz w:val="24"/>
          <w:szCs w:val="24"/>
        </w:rPr>
        <w:t xml:space="preserve">Bilanz zum 31.12.2024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2000"/>
        <w:gridCol w:w="1400"/>
      </w:tblGrid>
      <w:tr>
        <w:trPr>
          <w:tblHeader/>
        </w:trPr>
        <w:tc>
          <w:tcPr>
            <w:tcW w:type="dxa" w:w="3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Position</w:t>
            </w:r>
          </w:p>
        </w:tc>
        <w:tc>
          <w:tcPr>
            <w:tcW w:type="dxa" w:w="2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31.12.2024 EUR</w:t>
            </w:r>
          </w:p>
        </w:tc>
        <w:tc>
          <w:tcPr>
            <w:tcW w:type="dxa" w:w="2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Grndg. 30.04.2024 EUR</w:t>
            </w:r>
          </w:p>
        </w:tc>
        <w:tc>
          <w:tcPr>
            <w:tcW w:type="dxa" w:w="14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Veraenderung</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AKTIVA</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Umlaufvermoegen gesamt</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4.099,00</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12.500,00</w:t>
            </w:r>
          </w:p>
        </w:tc>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-8.401,00</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Forderungen/sonst. VG</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1.710,70</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0,00</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+1.710,70</w:t>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Bankguthaben (DB+Finom)</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2.388,30</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12.500,00</w:t>
            </w:r>
          </w:p>
        </w:tc>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-10.111,70</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Nicht durch EK geckter Fehlbetrag</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27.926,89</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0,00</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+27.926,89</w:t>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Bilanzsumme</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32.025,89</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12.500,00</w:t>
            </w:r>
          </w:p>
        </w:tc>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+19.525,89</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PASSIVA</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Eigenkapital</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0,00</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12.500,00</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-12.500,00</w:t>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Gezeichnetes Kapital (eingef.)</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12.500,00</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12.500,00</w:t>
            </w:r>
          </w:p>
        </w:tc>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0,00</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Jahresfehlbetrag 2024</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-40.426,89</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0,00</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-40.426,89</w:t>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Ausstehende Einlagen (nicht eingef.)</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-12.500,00</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0,00</w:t>
            </w:r>
          </w:p>
        </w:tc>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-12.500,00</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Rueckstellungen</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1.901,00</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0,00</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+1.901,00</w:t>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Abschluss-/Pruefungskosten</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1.800,00</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0,00</w:t>
            </w:r>
          </w:p>
        </w:tc>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+1.800,00</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Sonstige Rueckstellungen</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101,00</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0,00</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+101,00</w:t>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Verbindlichkeiten gesamt</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30.124,89</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0,00</w:t>
            </w:r>
          </w:p>
        </w:tc>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+30.124,89</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davon gegenueber Gesellschaftern</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29.397,35</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0,00</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+29.397,35</w:t>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davon Lieferanten</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727,54</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0,00</w:t>
            </w:r>
          </w:p>
        </w:tc>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+727,54</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Bilanzsumme</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32.025,89</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12.500,00</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+19.525,89</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r>
              <w:rPr>
                <w:rFonts w:ascii="Arial" w:cs="Arial" w:eastAsia="Arial" w:hAnsi="Arial"/>
                <w:b/>
                <w:bCs/>
                <w:color w:val="1C2833"/>
                <w:sz w:val="20"/>
                <w:szCs w:val="20"/>
              </w:rPr>
              <w:t xml:space="preserve">ℹ </w:t>
            </w:r>
            <w:r>
              <w:rPr>
                <w:rFonts w:ascii="Arial" w:cs="Arial" w:eastAsia="Arial" w:hAnsi="Arial"/>
                <w:color w:val="1C2833"/>
                <w:sz w:val="20"/>
                <w:szCs w:val="20"/>
              </w:rPr>
              <w:t xml:space="preserve">Das Stammkapital von 25.000 EUR ist nur zur Haelfte eingezahlt (12.500 EUR). Die ausstehenden 12.500 EUR wurden nie eingefordert — dies ist eine offene Kapitalzufuhr-Option.</w:t>
            </w:r>
          </w:p>
        </w:tc>
      </w:tr>
    </w:tbl>
    <w:p>
      <w:pPr>
        <w:spacing w:after="0" w:before="120"/>
      </w:pPr>
      <w:r>
        <w:t xml:space="preserve"/>
      </w:r>
    </w:p>
    <w:p>
      <w:pPr>
        <w:pStyle w:val="Heading3"/>
        <w:spacing w:after="100" w:before="200"/>
      </w:pPr>
      <w:r>
        <w:rPr>
          <w:rFonts w:ascii="Arial" w:cs="Arial" w:eastAsia="Arial" w:hAnsi="Arial"/>
          <w:b/>
          <w:bCs/>
          <w:color w:val="2E4057"/>
          <w:sz w:val="24"/>
          <w:szCs w:val="24"/>
        </w:rPr>
        <w:t xml:space="preserve">GuV 30.04. – 31.12.2024 (Gesamtkostenverfahren)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800"/>
      </w:tblGrid>
      <w:tr>
        <w:trPr>
          <w:tblHeader/>
        </w:trPr>
        <w:tc>
          <w:tcPr>
            <w:tcW w:type="dxa" w:w="42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GuV-Position</w:t>
            </w:r>
          </w:p>
        </w:tc>
        <w:tc>
          <w:tcPr>
            <w:tcW w:type="dxa" w:w="22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EUR</w:t>
            </w:r>
          </w:p>
        </w:tc>
        <w:tc>
          <w:tcPr>
            <w:tcW w:type="dxa" w:w="2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Anteil</w:t>
            </w:r>
          </w:p>
        </w:tc>
      </w:tr>
      <w:tr>
        <w:tc>
          <w:tcPr>
            <w:tcW w:type="dxa" w:w="4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Umsatzerloese</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0,00</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0,0%</w:t>
            </w:r>
          </w:p>
        </w:tc>
      </w:tr>
      <w:tr>
        <w:tc>
          <w:tcPr>
            <w:tcW w:type="dxa" w:w="4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Sonst. betriebl. Ertraege</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63,77</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0,2%</w:t>
            </w:r>
          </w:p>
        </w:tc>
      </w:tr>
      <w:tr>
        <w:tc>
          <w:tcPr>
            <w:tcW w:type="dxa" w:w="4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GESAMTLEISTUNG</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63,77</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r>
      <w:tr>
        <w:tc>
          <w:tcPr>
            <w:tcW w:type="dxa" w:w="4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w:r>
          </w:p>
        </w:tc>
      </w:tr>
      <w:tr>
        <w:tc>
          <w:tcPr>
            <w:tcW w:type="dxa" w:w="4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Rechts- und Beratungskosten</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-18.909,31</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48,9%</w:t>
            </w:r>
          </w:p>
        </w:tc>
      </w:tr>
      <w:tr>
        <w:tc>
          <w:tcPr>
            <w:tcW w:type="dxa" w:w="4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davon Rechts/Beratung (6825)</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-17.000,00</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43,9%</w:t>
            </w:r>
          </w:p>
        </w:tc>
      </w:tr>
      <w:tr>
        <w:tc>
          <w:tcPr>
            <w:tcW w:type="dxa" w:w="4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davon Abschluss-/Pruefung (6827)</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-1.800,00</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4,7%</w:t>
            </w:r>
          </w:p>
        </w:tc>
      </w:tr>
      <w:tr>
        <w:tc>
          <w:tcPr>
            <w:tcW w:type="dxa" w:w="4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davon Buchfuehrung (6830)</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-109,31</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0,3%</w:t>
            </w:r>
          </w:p>
        </w:tc>
      </w:tr>
      <w:tr>
        <w:tc>
          <w:tcPr>
            <w:tcW w:type="dxa" w:w="4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Fremdleistungen (Vertrieb+Admin)</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-11.478,14</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29,7%</w:t>
            </w:r>
          </w:p>
        </w:tc>
      </w:tr>
      <w:tr>
        <w:tc>
          <w:tcPr>
            <w:tcW w:type="dxa" w:w="4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davon Fremdarbeiten Vertrieb (6780)</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-6.090,00</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15,7%</w:t>
            </w:r>
          </w:p>
        </w:tc>
      </w:tr>
      <w:tr>
        <w:tc>
          <w:tcPr>
            <w:tcW w:type="dxa" w:w="4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davon Fremdarbeiten Admin (6303)</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-5.388,14</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13,9%</w:t>
            </w:r>
          </w:p>
        </w:tc>
      </w:tr>
      <w:tr>
        <w:tc>
          <w:tcPr>
            <w:tcW w:type="dxa" w:w="4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Software/Lizenzen (6837)</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-2.956,10</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7,6%</w:t>
            </w:r>
          </w:p>
        </w:tc>
      </w:tr>
      <w:tr>
        <w:tc>
          <w:tcPr>
            <w:tcW w:type="dxa" w:w="4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Bewirtungskosten gesamt (6640)</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-1.438,25</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3,7%</w:t>
            </w:r>
          </w:p>
        </w:tc>
      </w:tr>
      <w:tr>
        <w:tc>
          <w:tcPr>
            <w:tcW w:type="dxa" w:w="4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Versicherungen/Abgaben</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-986,45</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2,5%</w:t>
            </w:r>
          </w:p>
        </w:tc>
      </w:tr>
      <w:tr>
        <w:tc>
          <w:tcPr>
            <w:tcW w:type="dxa" w:w="4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Kfz-Kosten (6595)</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-1.101,12</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2,8%</w:t>
            </w:r>
          </w:p>
        </w:tc>
      </w:tr>
      <w:tr>
        <w:tc>
          <w:tcPr>
            <w:tcW w:type="dxa" w:w="4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Kommunikation (Tel+Internet)</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-761,62</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2,0%</w:t>
            </w:r>
          </w:p>
        </w:tc>
      </w:tr>
      <w:tr>
        <w:tc>
          <w:tcPr>
            <w:tcW w:type="dxa" w:w="4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Bueromiete Schoenef./WestX (6310)</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-743,80</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1,9%</w:t>
            </w:r>
          </w:p>
        </w:tc>
      </w:tr>
      <w:tr>
        <w:tc>
          <w:tcPr>
            <w:tcW w:type="dxa" w:w="4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Sofortabschr. GWG (6260)</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-755,46</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2,0%</w:t>
            </w:r>
          </w:p>
        </w:tc>
      </w:tr>
      <w:tr>
        <w:tc>
          <w:tcPr>
            <w:tcW w:type="dxa" w:w="4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Nebenk. Geldverkehr (6855)</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-311,11</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0,8%</w:t>
            </w:r>
          </w:p>
        </w:tc>
      </w:tr>
      <w:tr>
        <w:tc>
          <w:tcPr>
            <w:tcW w:type="dxa" w:w="4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Sonstige betriebl. Aufwendungen</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-509,52</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1,3%</w:t>
            </w:r>
          </w:p>
        </w:tc>
      </w:tr>
      <w:tr>
        <w:tc>
          <w:tcPr>
            <w:tcW w:type="dxa" w:w="4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BETRIEBSERGEBNIS (EBIT)</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-40.040,87</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r>
      <w:tr>
        <w:tc>
          <w:tcPr>
            <w:tcW w:type="dxa" w:w="4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Zinsen Gesellschafterdarlehen (7316)</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-386,02</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w:r>
          </w:p>
        </w:tc>
      </w:tr>
      <w:tr>
        <w:tc>
          <w:tcPr>
            <w:tcW w:type="dxa" w:w="4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JAHRESFEHLBETRAG</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-40.426,89</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r>
    </w:tbl>
    <w:p>
      <w:pPr>
        <w:spacing w:after="0" w:before="120"/>
      </w:pPr>
      <w:r>
        <w:t xml:space="preserve"/>
      </w:r>
    </w:p>
    <w:p>
      <w:pPr>
        <w:spacing w:after="120" w:before="120"/>
        <w:jc w:val="left"/>
      </w:pPr>
      <w:r>
        <w:rPr>
          <w:rFonts w:ascii="Arial" w:cs="Arial" w:eastAsia="Arial" w:hAnsi="Arial"/>
          <w:b w:val="false"/>
          <w:bCs w:val="false"/>
          <w:i w:val="false"/>
          <w:iCs w:val="false"/>
          <w:color w:val="1C2833"/>
          <w:sz w:val="20"/>
          <w:szCs w:val="20"/>
        </w:rPr>
        <w:t xml:space="preserve">Erkenntnis: 48,9% der Kosten entfallen auf Rechts- und Beratungskosten (18.909 EUR in 8 Monaten). Der groesste Einzelposten (17.000 EUR) laesst auf umfangreiche Gruendungs- und Vertragsberatungen schliessen. Diese sind nicht wiederkehrend — ein Lichtblick.</w:t>
      </w:r>
    </w:p>
    <w:p>
      <w:pPr>
        <w:spacing w:after="0" w:before="120"/>
      </w:pPr>
      <w:r>
        <w:t xml:space="preserve"/>
      </w:r>
    </w:p>
    <w:p>
      <w:pPr>
        <w:pStyle w:val="Heading2"/>
        <w:spacing w:after="140" w:before="280"/>
      </w:pPr>
      <w:r>
        <w:rPr>
          <w:rFonts w:ascii="Arial" w:cs="Arial" w:eastAsia="Arial" w:hAnsi="Arial"/>
          <w:b/>
          <w:bCs/>
          <w:color w:val="1A5276"/>
          <w:sz w:val="28"/>
          <w:szCs w:val="28"/>
        </w:rPr>
        <w:t xml:space="preserve">1.2 Steuerliche Positionen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600"/>
      </w:tblGrid>
      <w:tr>
        <w:trPr>
          <w:tblHeader/>
        </w:trPr>
        <w:tc>
          <w:tcPr>
            <w:tcW w:type="dxa" w:w="3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Steuerart</w:t>
            </w:r>
          </w:p>
        </w:tc>
        <w:tc>
          <w:tcPr>
            <w:tcW w:type="dxa" w:w="2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2024 Ergebnis</w:t>
            </w:r>
          </w:p>
        </w:tc>
        <w:tc>
          <w:tcPr>
            <w:tcW w:type="dxa" w:w="3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Anmerkung</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Koerperschaftsteuer</w:t>
            </w:r>
          </w:p>
        </w:tc>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0,00 EUR</w:t>
            </w:r>
          </w:p>
        </w:tc>
        <w:tc>
          <w:tcPr>
            <w:tcW w:type="dxa" w:w="3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Verlust — keine KSt-Last</w:t>
            </w:r>
          </w:p>
        </w:tc>
      </w:tr>
      <w:tr>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Gewerbesteuer</w:t>
            </w:r>
          </w:p>
        </w:tc>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0,00 EUR</w:t>
            </w:r>
          </w:p>
        </w:tc>
        <w:tc>
          <w:tcPr>
            <w:tcW w:type="dxa" w:w="3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Verlust — keine GewSt-Last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Umsatzsteuer</w:t>
            </w:r>
          </w:p>
        </w:tc>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-201,21 EUR Erstattung</w:t>
            </w:r>
          </w:p>
        </w:tc>
        <w:tc>
          <w:tcPr>
            <w:tcW w:type="dxa" w:w="3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Vorsteuerueberhang: 5.729 EUR Vorsteuer vs. 0 EUR USt</w:t>
            </w:r>
          </w:p>
        </w:tc>
      </w:tr>
      <w:tr>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Verlustvortrag KSt 31.12.2024</w:t>
            </w:r>
          </w:p>
        </w:tc>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39.996 EUR</w:t>
            </w:r>
          </w:p>
        </w:tc>
        <w:tc>
          <w:tcPr>
            <w:tcW w:type="dxa" w:w="3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Automatischer Uebertrag ins Folgejahr</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Gewerbefehlbetrag 31.12.2024</w:t>
            </w:r>
          </w:p>
        </w:tc>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39.996 EUR</w:t>
            </w:r>
          </w:p>
        </w:tc>
        <w:tc>
          <w:tcPr>
            <w:tcW w:type="dxa" w:w="3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Kumuliert, unbegrenzt vortragsfaehig</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D5F5E3" w:val="clear"/>
            <w:tcMar>
              <w:top w:type="dxa" w:w="120"/>
              <w:left w:type="dxa" w:w="180"/>
              <w:bottom w:type="dxa" w:w="120"/>
              <w:right w:type="dxa" w:w="180"/>
            </w:tcMar>
          </w:tcPr>
          <w:p>
            <w:r>
              <w:rPr>
                <w:rFonts w:ascii="Arial" w:cs="Arial" w:eastAsia="Arial" w:hAnsi="Arial"/>
                <w:b/>
                <w:bCs/>
                <w:color w:val="1C2833"/>
                <w:sz w:val="20"/>
                <w:szCs w:val="20"/>
              </w:rPr>
              <w:t xml:space="preserve">✓ </w:t>
            </w:r>
            <w:r>
              <w:rPr>
                <w:rFonts w:ascii="Arial" w:cs="Arial" w:eastAsia="Arial" w:hAnsi="Arial"/>
                <w:color w:val="1C2833"/>
                <w:sz w:val="20"/>
                <w:szCs w:val="20"/>
              </w:rPr>
              <w:t xml:space="preserve">Strategischer Wert der Verlustvortraege: Bei zukuenftigem Gewinn (z.B. Cafe-Venture 2025/2026) koennen 39.996 EUR Verlust steuermindernd verrechnet werden. Wertpotenzial (KSt + GewSt + Soli): bis ca. 13.500 EUR Steuerersparnis auf erste Gewinnphase.</w:t>
            </w:r>
          </w:p>
        </w:tc>
      </w:tr>
    </w:tbl>
    <w:p>
      <w:pPr>
        <w:spacing w:after="0" w:before="120"/>
      </w:pPr>
      <w:r>
        <w:t xml:space="preserve"/>
      </w:r>
    </w:p>
    <w:p>
      <w:pPr>
        <w:pStyle w:val="Heading2"/>
        <w:spacing w:after="140" w:before="280"/>
      </w:pPr>
      <w:r>
        <w:rPr>
          <w:rFonts w:ascii="Arial" w:cs="Arial" w:eastAsia="Arial" w:hAnsi="Arial"/>
          <w:b/>
          <w:bCs/>
          <w:color w:val="1A5276"/>
          <w:sz w:val="28"/>
          <w:szCs w:val="28"/>
        </w:rPr>
        <w:t xml:space="preserve">1.3 Privat: Cashflow-Analyse 2026</w:t>
      </w:r>
    </w:p>
    <w:p>
      <w:pPr>
        <w:pStyle w:val="Heading3"/>
        <w:spacing w:after="100" w:before="200"/>
      </w:pPr>
      <w:r>
        <w:rPr>
          <w:rFonts w:ascii="Arial" w:cs="Arial" w:eastAsia="Arial" w:hAnsi="Arial"/>
          <w:b/>
          <w:bCs/>
          <w:color w:val="2E4057"/>
          <w:sz w:val="24"/>
          <w:szCs w:val="24"/>
        </w:rPr>
        <w:t xml:space="preserve">Consorsbank Saldo-Entwicklung Jan-Mai 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600"/>
      </w:tblGrid>
      <w:tr>
        <w:trPr>
          <w:tblHeader/>
        </w:trPr>
        <w:tc>
          <w:tcPr>
            <w:tcW w:type="dxa" w:w="2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Monat</w:t>
            </w:r>
          </w:p>
        </w:tc>
        <w:tc>
          <w:tcPr>
            <w:tcW w:type="dxa" w:w="2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Saldo Monatsende</w:t>
            </w:r>
          </w:p>
        </w:tc>
        <w:tc>
          <w:tcPr>
            <w:tcW w:type="dxa" w:w="1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Delta</w:t>
            </w:r>
          </w:p>
        </w:tc>
        <w:tc>
          <w:tcPr>
            <w:tcW w:type="dxa" w:w="3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Wesentliche Bewegungen</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Dez 2025 (Ausgangspunkt)</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-3.088,95 EUR</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w:t>
            </w:r>
          </w:p>
        </w:tc>
        <w:tc>
          <w:tcPr>
            <w:tcW w:type="dxa" w:w="3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Uebernahme Vormonat</w:t>
            </w:r>
          </w:p>
        </w:tc>
      </w:tr>
      <w:tr>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Jan 2026</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-212,01 EUR</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+2.876,94</w:t>
            </w:r>
          </w:p>
        </w:tc>
        <w:tc>
          <w:tcPr>
            <w:tcW w:type="dxa" w:w="3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ALG II 2.202 EUR + Doctolib 3.160 EUR; Ausgaben hoch</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Feb 2026</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+610,72 EUR</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+822,73</w:t>
            </w:r>
          </w:p>
        </w:tc>
        <w:tc>
          <w:tcPr>
            <w:tcW w:type="dxa" w:w="3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Doctolib 3.638,82 EUR; keine Sonderbuchungen</w:t>
            </w:r>
          </w:p>
        </w:tc>
      </w:tr>
      <w:tr>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Mrz 2026</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-584,20 EUR</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-1.194,92</w:t>
            </w:r>
          </w:p>
        </w:tc>
        <w:tc>
          <w:tcPr>
            <w:tcW w:type="dxa" w:w="3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Laura 1.300 EUR Transfer raus; Nebenkosten</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Apr 2026</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+3.380,18 EUR</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+3.964,38</w:t>
            </w:r>
          </w:p>
        </w:tc>
        <w:tc>
          <w:tcPr>
            <w:tcW w:type="dxa" w:w="3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Doctolib Quartalsbonus 8.249,96 EUR (April!)</w:t>
            </w:r>
          </w:p>
        </w:tc>
      </w:tr>
      <w:tr>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Mai 2026</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+971,67 EUR</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-2.408,51</w:t>
            </w:r>
          </w:p>
        </w:tc>
        <w:tc>
          <w:tcPr>
            <w:tcW w:type="dxa" w:w="3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Doctolib 3.638,82 EUR; MediaMarkt -619,99 EUR</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Netto Jan-Mai 2026</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+4.060,62 EUR</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+4.061</w:t>
            </w:r>
          </w:p>
        </w:tc>
        <w:tc>
          <w:tcPr>
            <w:tcW w:type="dxa" w:w="3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Saldo-Delta exakt berechnet (DATEV-Methode)</w:t>
            </w:r>
          </w:p>
        </w:tc>
      </w:tr>
    </w:tbl>
    <w:p>
      <w:pPr>
        <w:spacing w:after="0" w:before="120"/>
      </w:pPr>
      <w:r>
        <w:t xml:space="preserve"/>
      </w:r>
    </w:p>
    <w:p>
      <w:pPr>
        <w:pStyle w:val="Heading3"/>
        <w:spacing w:after="100" w:before="200"/>
      </w:pPr>
      <w:r>
        <w:rPr>
          <w:rFonts w:ascii="Arial" w:cs="Arial" w:eastAsia="Arial" w:hAnsi="Arial"/>
          <w:b/>
          <w:bCs/>
          <w:color w:val="2E4057"/>
          <w:sz w:val="24"/>
          <w:szCs w:val="24"/>
        </w:rPr>
        <w:t xml:space="preserve">Einnahmenstruktur Privat 2026 (Jan-Mai)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200"/>
      </w:tblGrid>
      <w:tr>
        <w:trPr>
          <w:tblHeader/>
        </w:trPr>
        <w:tc>
          <w:tcPr>
            <w:tcW w:type="dxa" w:w="32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Einnahmequelle</w:t>
            </w:r>
          </w:p>
        </w:tc>
        <w:tc>
          <w:tcPr>
            <w:tcW w:type="dxa" w:w="1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Jan-Mai 2026</w:t>
            </w:r>
          </w:p>
        </w:tc>
        <w:tc>
          <w:tcPr>
            <w:tcW w:type="dxa" w:w="2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Monatsdurchschnitt</w:t>
            </w:r>
          </w:p>
        </w:tc>
        <w:tc>
          <w:tcPr>
            <w:tcW w:type="dxa" w:w="22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Stabilitaet</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Doctolib Grundgehalt (~3.639 EUR/Monat)</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~15.400 EUR</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~3.080 EUR</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HOCH — Festgehalt</w:t>
            </w:r>
          </w:p>
        </w:tc>
      </w:tr>
      <w:tr>
        <w:tc>
          <w:tcPr>
            <w:tcW w:type="dxa" w:w="3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Doctolib Quartalsbonus Q1 2026</w:t>
            </w:r>
          </w:p>
        </w:tc>
        <w:tc>
          <w:tcPr>
            <w:tcW w:type="dxa" w:w="1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8.250 EUR</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Einmalig April</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MITTEL — quartalsweise</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ALG II (nur Jan 2026)</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2.202 EUR</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nur Jan</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BEENDET — lief aus</w:t>
            </w:r>
          </w:p>
        </w:tc>
      </w:tr>
      <w:tr>
        <w:tc>
          <w:tcPr>
            <w:tcW w:type="dxa" w:w="3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GESAMT (Einnahmen lt. Saldo)</w:t>
            </w:r>
          </w:p>
        </w:tc>
        <w:tc>
          <w:tcPr>
            <w:tcW w:type="dxa" w:w="1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~28.906 EUR</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~5.781 EUR</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Ausgaben (Saldo-Methode)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~24.845 EUR</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~4.969 EUR</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r>
      <w:tr>
        <w:tc>
          <w:tcPr>
            <w:tcW w:type="dxa" w:w="3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NETTO</w:t>
            </w:r>
          </w:p>
        </w:tc>
        <w:tc>
          <w:tcPr>
            <w:tcW w:type="dxa" w:w="1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+4.061 EUR</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+812 EUR/Monat</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r>
              <w:rPr>
                <w:rFonts w:ascii="Arial" w:cs="Arial" w:eastAsia="Arial" w:hAnsi="Arial"/>
                <w:b/>
                <w:bCs/>
                <w:color w:val="1C2833"/>
                <w:sz w:val="20"/>
                <w:szCs w:val="20"/>
              </w:rPr>
              <w:t xml:space="preserve">▲ ACHTUNG: </w:t>
            </w:r>
            <w:r>
              <w:rPr>
                <w:rFonts w:ascii="Arial" w:cs="Arial" w:eastAsia="Arial" w:hAnsi="Arial"/>
                <w:color w:val="1C2833"/>
                <w:sz w:val="20"/>
                <w:szCs w:val="20"/>
              </w:rPr>
              <w:t xml:space="preserve">Doctolib-Abhaengigkeit: 100% des stabilen Einkommens kommen von einem Arbeitgeber. Kein Notgroschen erkennbar (Consorsbank im Minus). Quartalsboni glaetten die Jahresbilanz, aber monatlich ist der Puffer sehr duenn.</w:t>
            </w:r>
          </w:p>
        </w:tc>
      </w:tr>
    </w:tbl>
    <w:p>
      <w:pPr>
        <w:spacing w:after="0" w:before="120"/>
      </w:pPr>
      <w:r>
        <w:t xml:space="preserve"/>
      </w:r>
    </w:p>
    <w:p>
      <w:pPr>
        <w:pStyle w:val="Heading2"/>
        <w:spacing w:after="140" w:before="280"/>
      </w:pPr>
      <w:r>
        <w:rPr>
          <w:rFonts w:ascii="Arial" w:cs="Arial" w:eastAsia="Arial" w:hAnsi="Arial"/>
          <w:b/>
          <w:bCs/>
          <w:color w:val="1A5276"/>
          <w:sz w:val="28"/>
          <w:szCs w:val="28"/>
        </w:rPr>
        <w:t xml:space="preserve">1.4 Schuldenstruktur Privat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600"/>
        <w:gridCol w:w="1800"/>
        <w:gridCol w:w="1000"/>
      </w:tblGrid>
      <w:tr>
        <w:trPr>
          <w:tblHeader/>
        </w:trPr>
        <w:tc>
          <w:tcPr>
            <w:tcW w:type="dxa" w:w="3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Verbindlichkeit</w:t>
            </w:r>
          </w:p>
        </w:tc>
        <w:tc>
          <w:tcPr>
            <w:tcW w:type="dxa" w:w="1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Restschuld Jun 2026</w:t>
            </w:r>
          </w:p>
        </w:tc>
        <w:tc>
          <w:tcPr>
            <w:tcW w:type="dxa" w:w="1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Laufzeit</w:t>
            </w:r>
          </w:p>
        </w:tc>
        <w:tc>
          <w:tcPr>
            <w:tcW w:type="dxa" w:w="1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Rate/Monat</w:t>
            </w:r>
          </w:p>
        </w:tc>
        <w:tc>
          <w:tcPr>
            <w:tcW w:type="dxa" w:w="1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Zinssatz</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VW Bank Autokredit</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18.858 EUR</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29 Monate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681,57 EUR</w:t>
            </w:r>
          </w:p>
        </w:tc>
        <w:tc>
          <w:tcPr>
            <w:tcW w:type="dxa" w:w="1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~ca. 4-6% p.a.</w:t>
            </w:r>
          </w:p>
        </w:tc>
      </w:tr>
      <w:tr>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Consorsbank Dispo</w:t>
            </w:r>
          </w:p>
        </w:tc>
        <w:tc>
          <w:tcPr>
            <w:tcW w:type="dxa" w:w="1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~1.405 EUR</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Revolving</w:t>
            </w:r>
          </w:p>
        </w:tc>
        <w:tc>
          <w:tcPr>
            <w:tcW w:type="dxa" w:w="1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Zinsen lfd.</w:t>
            </w:r>
          </w:p>
        </w:tc>
        <w:tc>
          <w:tcPr>
            <w:tcW w:type="dxa" w:w="1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9,40% p.a.</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Gesellschafterdarlehen Wagglz</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29.397 EUR</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keine def. Laufzeit</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Zinsen 9% p.a.</w:t>
            </w:r>
          </w:p>
        </w:tc>
        <w:tc>
          <w:tcPr>
            <w:tcW w:type="dxa" w:w="1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Risiko: §17a EStG</w:t>
            </w:r>
          </w:p>
        </w:tc>
      </w:tr>
      <w:tr>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GESAMT Schulden (Privat+GmbH)</w:t>
            </w:r>
          </w:p>
        </w:tc>
        <w:tc>
          <w:tcPr>
            <w:tcW w:type="dxa" w:w="1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~49.660 EUR</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1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1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w:r>
          </w:p>
        </w:tc>
      </w:tr>
    </w:tbl>
    <w:p>
      <w:r>
        <w:br w:type="page"/>
      </w:r>
    </w:p>
    <w:p>
      <w:pPr>
        <w:pStyle w:val="Heading1"/>
        <w:spacing w:after="180" w:before="360"/>
      </w:pPr>
      <w:r>
        <w:rPr>
          <w:rFonts w:ascii="Arial" w:cs="Arial" w:eastAsia="Arial" w:hAnsi="Arial"/>
          <w:b/>
          <w:bCs/>
          <w:color w:val="154360"/>
          <w:sz w:val="36"/>
          <w:szCs w:val="36"/>
        </w:rPr>
        <w:t xml:space="preserve">2. Steuerberater — Steuerliche Analyse &amp; Risiken</w:t>
      </w:r>
    </w:p>
    <w:p>
      <w:pPr>
        <w:pBdr>
          <w:bottom w:val="single" w:color="154360" w:sz="6"/>
        </w:pBdr>
        <w:spacing w:after="80" w:before="80"/>
      </w:pPr>
      <w:r>
        <w:t xml:space="preserve"/>
      </w:r>
    </w:p>
    <w:p>
      <w:pPr>
        <w:pStyle w:val="Heading2"/>
        <w:spacing w:after="140" w:before="280"/>
      </w:pPr>
      <w:r>
        <w:rPr>
          <w:rFonts w:ascii="Arial" w:cs="Arial" w:eastAsia="Arial" w:hAnsi="Arial"/>
          <w:b/>
          <w:bCs/>
          <w:color w:val="1A5276"/>
          <w:sz w:val="28"/>
          <w:szCs w:val="28"/>
        </w:rPr>
        <w:t xml:space="preserve">2.1 Wagglz GmbH: Steuerliche Bestandsaufnahme 2024</w:t>
      </w:r>
    </w:p>
    <w:p>
      <w:pPr>
        <w:spacing w:after="120" w:before="120"/>
        <w:jc w:val="left"/>
      </w:pPr>
      <w:r>
        <w:rPr>
          <w:rFonts w:ascii="Arial" w:cs="Arial" w:eastAsia="Arial" w:hAnsi="Arial"/>
          <w:b w:val="false"/>
          <w:bCs w:val="false"/>
          <w:i w:val="false"/>
          <w:iCs w:val="false"/>
          <w:color w:val="7F8C8D"/>
          <w:sz w:val="22"/>
          <w:szCs w:val="22"/>
        </w:rPr>
        <w:t xml:space="preserve">Steuernummer: 3049/012/200413 | Finanzamt: Koenigs Wusterhausen | Wirtschaftsjahr: 30.04.-31.12.2024</w:t>
      </w:r>
    </w:p>
    <w:p>
      <w:pPr>
        <w:spacing w:after="0" w:before="120"/>
      </w:pPr>
      <w:r>
        <w:t xml:space="preserve"/>
      </w:r>
    </w:p>
    <w:p>
      <w:pPr>
        <w:pStyle w:val="Heading3"/>
        <w:spacing w:after="100" w:before="200"/>
      </w:pPr>
      <w:r>
        <w:rPr>
          <w:rFonts w:ascii="Arial" w:cs="Arial" w:eastAsia="Arial" w:hAnsi="Arial"/>
          <w:b/>
          <w:bCs/>
          <w:color w:val="2E4057"/>
          <w:sz w:val="24"/>
          <w:szCs w:val="24"/>
        </w:rPr>
        <w:t xml:space="preserve">Koerperschaftsteuer 2024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0"/>
        <w:gridCol w:w="3800"/>
      </w:tblGrid>
      <w:tr>
        <w:trPr>
          <w:tblHeader/>
        </w:trPr>
        <w:tc>
          <w:tcPr>
            <w:tcW w:type="dxa" w:w="54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Position</w:t>
            </w:r>
          </w:p>
        </w:tc>
        <w:tc>
          <w:tcPr>
            <w:tcW w:type="dxa" w:w="3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Betrag EUR</w:t>
            </w:r>
          </w:p>
        </w:tc>
      </w:tr>
      <w:tr>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Vorlaeufiger Gewinn/Verlust</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-40.427</w:t>
            </w:r>
          </w:p>
        </w:tc>
      </w:tr>
      <w:tr>
        <w:tc>
          <w:tcPr>
            <w:tcW w:type="dxa" w:w="5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Nicht abziehbare Aufwendungen (Bewirtung 30%)</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+431</w:t>
            </w:r>
          </w:p>
        </w:tc>
      </w:tr>
      <w:tr>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Einkuenfte aus Gewerbebetrieb (§7 KStG)</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-39.996</w:t>
            </w:r>
          </w:p>
        </w:tc>
      </w:tr>
      <w:tr>
        <w:tc>
          <w:tcPr>
            <w:tcW w:type="dxa" w:w="5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Zu versteuerndes Einkommen</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-39.996</w:t>
            </w:r>
          </w:p>
        </w:tc>
      </w:tr>
      <w:tr>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KSt 15% auf Verlust</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w:t>
            </w:r>
          </w:p>
        </w:tc>
      </w:tr>
      <w:tr>
        <w:tc>
          <w:tcPr>
            <w:tcW w:type="dxa" w:w="5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Verlustvortrag zum 31.12.2024</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39.996</w:t>
            </w:r>
          </w:p>
        </w:tc>
      </w:tr>
    </w:tbl>
    <w:p>
      <w:pPr>
        <w:spacing w:after="0" w:before="120"/>
      </w:pPr>
      <w:r>
        <w:t xml:space="preserve"/>
      </w:r>
    </w:p>
    <w:p>
      <w:pPr>
        <w:pStyle w:val="Heading3"/>
        <w:spacing w:after="100" w:before="200"/>
      </w:pPr>
      <w:r>
        <w:rPr>
          <w:rFonts w:ascii="Arial" w:cs="Arial" w:eastAsia="Arial" w:hAnsi="Arial"/>
          <w:b/>
          <w:bCs/>
          <w:color w:val="2E4057"/>
          <w:sz w:val="24"/>
          <w:szCs w:val="24"/>
        </w:rPr>
        <w:t xml:space="preserve">Gewerbesteuer 2024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0"/>
        <w:gridCol w:w="3800"/>
      </w:tblGrid>
      <w:tr>
        <w:trPr>
          <w:tblHeader/>
        </w:trPr>
        <w:tc>
          <w:tcPr>
            <w:tcW w:type="dxa" w:w="54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Position</w:t>
            </w:r>
          </w:p>
        </w:tc>
        <w:tc>
          <w:tcPr>
            <w:tcW w:type="dxa" w:w="3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Betrag EUR</w:t>
            </w:r>
          </w:p>
        </w:tc>
      </w:tr>
      <w:tr>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Gewerbeertrag/-verlust (§7 GewStG)</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-39.996</w:t>
            </w:r>
          </w:p>
        </w:tc>
      </w:tr>
      <w:tr>
        <w:tc>
          <w:tcPr>
            <w:tcW w:type="dxa" w:w="5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Hinzurechnungen gesamt (§8 GewStG)</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+1.496</w:t>
            </w:r>
          </w:p>
        </w:tc>
      </w:tr>
      <w:tr>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Zinsen Gesellschafterdarlehen (§8 Nr.1a)</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+386</w:t>
            </w:r>
          </w:p>
        </w:tc>
      </w:tr>
      <w:tr>
        <w:tc>
          <w:tcPr>
            <w:tcW w:type="dxa" w:w="5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Miete/Pacht unbewegliche WG 50% (§8 Nr.1e)</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+371</w:t>
            </w:r>
          </w:p>
        </w:tc>
      </w:tr>
      <w:tr>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Lizenzaufwendungen 25% (§8 Nr.1f)</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+739</w:t>
            </w:r>
          </w:p>
        </w:tc>
      </w:tr>
      <w:tr>
        <w:tc>
          <w:tcPr>
            <w:tcW w:type="dxa" w:w="5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Freibetrag Hinzurechnungen</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-1.496</w:t>
            </w:r>
          </w:p>
        </w:tc>
      </w:tr>
      <w:tr>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Steuerpflichtiger Gewerbeertrag</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w:t>
            </w:r>
          </w:p>
        </w:tc>
      </w:tr>
      <w:tr>
        <w:tc>
          <w:tcPr>
            <w:tcW w:type="dxa" w:w="5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Gewerbesteuer (Hebesatz ~350%)</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0</w:t>
            </w:r>
          </w:p>
        </w:tc>
      </w:tr>
      <w:tr>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Gewerbefehlbetrag zum 31.12.2024</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39.996</w:t>
            </w:r>
          </w:p>
        </w:tc>
      </w:tr>
    </w:tbl>
    <w:p>
      <w:pPr>
        <w:spacing w:after="0" w:before="120"/>
      </w:pPr>
      <w:r>
        <w:t xml:space="preserve"/>
      </w:r>
    </w:p>
    <w:p>
      <w:pPr>
        <w:pStyle w:val="Heading3"/>
        <w:spacing w:after="100" w:before="200"/>
      </w:pPr>
      <w:r>
        <w:rPr>
          <w:rFonts w:ascii="Arial" w:cs="Arial" w:eastAsia="Arial" w:hAnsi="Arial"/>
          <w:b/>
          <w:bCs/>
          <w:color w:val="2E4057"/>
          <w:sz w:val="24"/>
          <w:szCs w:val="24"/>
        </w:rPr>
        <w:t xml:space="preserve">Umsatzsteuer 2024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0"/>
        <w:gridCol w:w="3800"/>
      </w:tblGrid>
      <w:tr>
        <w:trPr>
          <w:tblHeader/>
        </w:trPr>
        <w:tc>
          <w:tcPr>
            <w:tcW w:type="dxa" w:w="54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USt-Position</w:t>
            </w:r>
          </w:p>
        </w:tc>
        <w:tc>
          <w:tcPr>
            <w:tcW w:type="dxa" w:w="3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Betrag EUR</w:t>
            </w:r>
          </w:p>
        </w:tc>
      </w:tr>
      <w:tr>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Steuerpflichtige Ausgangsleistungen (19%)</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0,00</w:t>
            </w:r>
          </w:p>
        </w:tc>
      </w:tr>
      <w:tr>
        <w:tc>
          <w:tcPr>
            <w:tcW w:type="dxa" w:w="5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Abziehbare Vorsteuer gesamt</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6.049,13</w:t>
            </w:r>
          </w:p>
        </w:tc>
      </w:tr>
      <w:tr>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Vorsteuer 19% regulaer</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5.726,69</w:t>
            </w:r>
          </w:p>
        </w:tc>
      </w:tr>
      <w:tr>
        <w:tc>
          <w:tcPr>
            <w:tcW w:type="dxa" w:w="5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Vorsteuer 7%</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2,53</w:t>
            </w:r>
          </w:p>
        </w:tc>
      </w:tr>
      <w:tr>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Vorsteuer §13b UStG 19%</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319,91</w:t>
            </w:r>
          </w:p>
        </w:tc>
      </w:tr>
      <w:tr>
        <w:tc>
          <w:tcPr>
            <w:tcW w:type="dxa" w:w="5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Geschuldete Steuerbetraege (§13b)</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319,91</w:t>
            </w:r>
          </w:p>
        </w:tc>
      </w:tr>
      <w:tr>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Verbleibender Ueberschuss (Erstattung)</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-5.729,22</w:t>
            </w:r>
          </w:p>
        </w:tc>
      </w:tr>
      <w:tr>
        <w:tc>
          <w:tcPr>
            <w:tcW w:type="dxa" w:w="5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Geleistete Vorauszahlungen 2024</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-5.528,01</w:t>
            </w:r>
          </w:p>
        </w:tc>
      </w:tr>
      <w:tr>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ERSTATTUNGSANSPRUCH</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-201,21</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r>
              <w:rPr>
                <w:rFonts w:ascii="Arial" w:cs="Arial" w:eastAsia="Arial" w:hAnsi="Arial"/>
                <w:b/>
                <w:bCs/>
                <w:color w:val="1C2833"/>
                <w:sz w:val="20"/>
                <w:szCs w:val="20"/>
              </w:rPr>
              <w:t xml:space="preserve">▲ ACHTUNG: </w:t>
            </w:r>
            <w:r>
              <w:rPr>
                <w:rFonts w:ascii="Arial" w:cs="Arial" w:eastAsia="Arial" w:hAnsi="Arial"/>
                <w:color w:val="1C2833"/>
                <w:sz w:val="20"/>
                <w:szCs w:val="20"/>
              </w:rPr>
              <w:t xml:space="preserve">Die GmbH hat in 2024 KEINERLEI Ausgangsleistungen erbracht (0 EUR Umsatz). Dennoch wurde umfangreich Vorsteuer gezogen — dies deutet auf reine Aufbauphase hin. Das FA wird bei der Veranlagung die fehlenden Erloese kritisch pruefe.</w:t>
            </w:r>
          </w:p>
        </w:tc>
      </w:tr>
    </w:tbl>
    <w:p>
      <w:pPr>
        <w:spacing w:after="0" w:before="120"/>
      </w:pPr>
      <w:r>
        <w:t xml:space="preserve"/>
      </w:r>
    </w:p>
    <w:p>
      <w:pPr>
        <w:pStyle w:val="Heading2"/>
        <w:spacing w:after="140" w:before="280"/>
      </w:pPr>
      <w:r>
        <w:rPr>
          <w:rFonts w:ascii="Arial" w:cs="Arial" w:eastAsia="Arial" w:hAnsi="Arial"/>
          <w:b/>
          <w:bCs/>
          <w:color w:val="1A5276"/>
          <w:sz w:val="28"/>
          <w:szCs w:val="28"/>
        </w:rPr>
        <w:t xml:space="preserve">2.2 §17 EStG: Verlustpotenzial bei GmbH-Liquidation</w:t>
      </w:r>
    </w:p>
    <w:p>
      <w:pPr>
        <w:spacing w:after="120" w:before="120"/>
        <w:jc w:val="left"/>
      </w:pPr>
      <w:r>
        <w:rPr>
          <w:rFonts w:ascii="Arial" w:cs="Arial" w:eastAsia="Arial" w:hAnsi="Arial"/>
          <w:b w:val="false"/>
          <w:bCs w:val="false"/>
          <w:i w:val="false"/>
          <w:iCs w:val="false"/>
          <w:color w:val="1C2833"/>
          <w:sz w:val="20"/>
          <w:szCs w:val="20"/>
        </w:rPr>
        <w:t xml:space="preserve">Falls die Wagglz GmbH liquidiert wird, koennen steuerliche Verluste nach §17 Abs. 1 und 2a EStG geltend gemacht werden:</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3000"/>
      </w:tblGrid>
      <w:tr>
        <w:trPr>
          <w:tblHeader/>
        </w:trPr>
        <w:tc>
          <w:tcPr>
            <w:tcW w:type="dxa" w:w="2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Verlustkomponente</w:t>
            </w:r>
          </w:p>
        </w:tc>
        <w:tc>
          <w:tcPr>
            <w:tcW w:type="dxa" w:w="1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Betrag</w:t>
            </w:r>
          </w:p>
        </w:tc>
        <w:tc>
          <w:tcPr>
            <w:tcW w:type="dxa" w:w="2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Rechtsgrundlage</w:t>
            </w:r>
          </w:p>
        </w:tc>
        <w:tc>
          <w:tcPr>
            <w:tcW w:type="dxa" w:w="3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Bedingungen</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Eingezahltes Stammkapital</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12.500 EUR</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§17 Abs. 1 EStG</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Unstreitig anzusetzen</w:t>
            </w:r>
          </w:p>
        </w:tc>
      </w:tr>
      <w:tr>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Gesellschafterdarlehen</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29.397 EUR</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§17 Abs. 2a EStG</w:t>
            </w:r>
          </w:p>
        </w:tc>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Nur wenn VOR Krise hingegeben!</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Potenzielle Verlustbasis brutto</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41.897 EUR</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r>
      <w:tr>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Ansetzbarer Verlust (60% TEV)</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25.138 EUR</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§3 Nr. 40c EStG</w:t>
            </w:r>
          </w:p>
        </w:tc>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Teileinkuenfteverfahren</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Steuerersparnis (~42% Grenz-ESt)</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ca. 10.558 EUR</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Schaetzung</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Abh. von Einkommenssituation</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r>
              <w:rPr>
                <w:rFonts w:ascii="Arial" w:cs="Arial" w:eastAsia="Arial" w:hAnsi="Arial"/>
                <w:b/>
                <w:bCs/>
                <w:color w:val="1C2833"/>
                <w:sz w:val="20"/>
                <w:szCs w:val="20"/>
              </w:rPr>
              <w:t xml:space="preserve">▲ ACHTUNG: </w:t>
            </w:r>
            <w:r>
              <w:rPr>
                <w:rFonts w:ascii="Arial" w:cs="Arial" w:eastAsia="Arial" w:hAnsi="Arial"/>
                <w:color w:val="1C2833"/>
                <w:sz w:val="20"/>
                <w:szCs w:val="20"/>
              </w:rPr>
              <w:t xml:space="preserve">KRITISCH §17 Abs. 2a EStG: Das Gesellschafterdarlehen (29.397 EUR) ist nur abzugsfaehig, wenn es NICHT in der Krise der GmbH gewaehrt wurde. Da die GmbH erst April 2024 gegruendet wurde und unmittelbar Verluste schrieb, muss der genaue Zeitpunkt der Darlehensgewaehrung mit dem Steuerberater geprueft werden.</w:t>
            </w:r>
          </w:p>
        </w:tc>
      </w:tr>
    </w:tbl>
    <w:p>
      <w:pPr>
        <w:spacing w:after="0" w:before="120"/>
      </w:pPr>
      <w:r>
        <w:t xml:space="preserve"/>
      </w:r>
    </w:p>
    <w:p>
      <w:pPr>
        <w:pStyle w:val="Heading2"/>
        <w:spacing w:after="140" w:before="280"/>
      </w:pPr>
      <w:r>
        <w:rPr>
          <w:rFonts w:ascii="Arial" w:cs="Arial" w:eastAsia="Arial" w:hAnsi="Arial"/>
          <w:b/>
          <w:bCs/>
          <w:color w:val="1A5276"/>
          <w:sz w:val="28"/>
          <w:szCs w:val="28"/>
        </w:rPr>
        <w:t xml:space="preserve">2.3 Offene steuerliche Risiken &amp; Handlungsbedarf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200"/>
        <w:gridCol w:w="3000"/>
      </w:tblGrid>
      <w:tr>
        <w:trPr>
          <w:tblHeader/>
        </w:trPr>
        <w:tc>
          <w:tcPr>
            <w:tcW w:type="dxa" w:w="2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Thema</w:t>
            </w:r>
          </w:p>
        </w:tc>
        <w:tc>
          <w:tcPr>
            <w:tcW w:type="dxa" w:w="24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Risiko/Status</w:t>
            </w:r>
          </w:p>
        </w:tc>
        <w:tc>
          <w:tcPr>
            <w:tcW w:type="dxa" w:w="12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Prioritaet</w:t>
            </w:r>
          </w:p>
        </w:tc>
        <w:tc>
          <w:tcPr>
            <w:tcW w:type="dxa" w:w="3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Empfehlung</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Rangruecktritt Gesellschafterdarlehen</w:t>
            </w:r>
          </w:p>
        </w:tc>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KEIN schriftlicher Rangruecktritt erkennbar im JA</w:t>
            </w:r>
          </w:p>
        </w:tc>
        <w:tc>
          <w:tcPr>
            <w:tcW w:type="dxa" w:w="1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DRINGEND</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Notariell beurkunden — verhindert §15a InsO Pflicht</w:t>
            </w:r>
          </w:p>
        </w:tc>
      </w:tr>
      <w:tr>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§15a InsO Antragspflicht</w:t>
            </w:r>
          </w:p>
        </w:tc>
        <w:tc>
          <w:tcPr>
            <w:tcW w:type="dxa" w:w="2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Bei Ueberschuldung ohne Rangruecktritt: 21-Tage-Frist!</w:t>
            </w:r>
          </w:p>
        </w:tc>
        <w:tc>
          <w:tcPr>
            <w:tcW w:type="dxa" w:w="1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DRINGEND</w:t>
            </w:r>
          </w:p>
        </w:tc>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Sofort Insolvenzpruefung mit Anwalt</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Ausstehende Stammeinlage</w:t>
            </w:r>
          </w:p>
        </w:tc>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12.500 EUR noch nicht eingezahlt</w:t>
            </w:r>
          </w:p>
        </w:tc>
        <w:tc>
          <w:tcPr>
            <w:tcW w:type="dxa" w:w="1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MITTEL</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Einzahlung wuerde EK stabilisieren</w:t>
            </w:r>
          </w:p>
        </w:tc>
      </w:tr>
      <w:tr>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Umsatzsteuer Veranlagung</w:t>
            </w:r>
          </w:p>
        </w:tc>
        <w:tc>
          <w:tcPr>
            <w:tcW w:type="dxa" w:w="2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201,21 EUR Erstattung ausstehend</w:t>
            </w:r>
          </w:p>
        </w:tc>
        <w:tc>
          <w:tcPr>
            <w:tcW w:type="dxa" w:w="1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NIEDRIG</w:t>
            </w:r>
          </w:p>
        </w:tc>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Nach FA-Bescheid automatisch ausgezahlt</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Jahresabschluss 2025</w:t>
            </w:r>
          </w:p>
        </w:tc>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Noch nicht erstellt (BWA vorhanden)</w:t>
            </w:r>
          </w:p>
        </w:tc>
        <w:tc>
          <w:tcPr>
            <w:tcW w:type="dxa" w:w="1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MITTEL</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Fruehzeitig beauftragen bei SP Steuerberatung</w:t>
            </w:r>
          </w:p>
        </w:tc>
      </w:tr>
      <w:tr>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Vollstaendigkeitserklaerung</w:t>
            </w:r>
          </w:p>
        </w:tc>
        <w:tc>
          <w:tcPr>
            <w:tcW w:type="dxa" w:w="2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Unterschrift Oleg ausstehend (SP hat angemahnt)</w:t>
            </w:r>
          </w:p>
        </w:tc>
        <w:tc>
          <w:tcPr>
            <w:tcW w:type="dxa" w:w="1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DRINGEND</w:t>
            </w:r>
          </w:p>
        </w:tc>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Zeitnah unterzeichnen — Pflicht!</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Krypto IOTA</w:t>
            </w:r>
          </w:p>
        </w:tc>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Haltedauer &gt;1 Jahr bestaetigt</w:t>
            </w:r>
          </w:p>
        </w:tc>
        <w:tc>
          <w:tcPr>
            <w:tcW w:type="dxa" w:w="1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ERLEDIGT</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§23 EStG: Steuerfrei — kein Handlungsbedarf</w:t>
            </w:r>
          </w:p>
        </w:tc>
      </w:tr>
    </w:tbl>
    <w:p>
      <w:r>
        <w:br w:type="page"/>
      </w:r>
    </w:p>
    <w:p>
      <w:pPr>
        <w:pStyle w:val="Heading1"/>
        <w:spacing w:after="180" w:before="360"/>
      </w:pPr>
      <w:r>
        <w:rPr>
          <w:rFonts w:ascii="Arial" w:cs="Arial" w:eastAsia="Arial" w:hAnsi="Arial"/>
          <w:b/>
          <w:bCs/>
          <w:color w:val="154360"/>
          <w:sz w:val="36"/>
          <w:szCs w:val="36"/>
        </w:rPr>
        <w:t xml:space="preserve">3. Insolvenzanalyst — §19 InsO Pruefung</w:t>
      </w:r>
    </w:p>
    <w:p>
      <w:pPr>
        <w:pBdr>
          <w:bottom w:val="single" w:color="154360" w:sz="6"/>
        </w:pBdr>
        <w:spacing w:after="80" w:before="80"/>
      </w:pPr>
      <w:r>
        <w:t xml:space="preserve"/>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r>
              <w:rPr>
                <w:rFonts w:ascii="Arial" w:cs="Arial" w:eastAsia="Arial" w:hAnsi="Arial"/>
                <w:b/>
                <w:bCs/>
                <w:color w:val="1C2833"/>
                <w:sz w:val="20"/>
                <w:szCs w:val="20"/>
              </w:rPr>
              <w:t xml:space="preserve">▲ ACHTUNG: </w:t>
            </w:r>
            <w:r>
              <w:rPr>
                <w:rFonts w:ascii="Arial" w:cs="Arial" w:eastAsia="Arial" w:hAnsi="Arial"/>
                <w:color w:val="1C2833"/>
                <w:sz w:val="20"/>
                <w:szCs w:val="20"/>
              </w:rPr>
              <w:t xml:space="preserve">WARNUNG: Die nachfolgende Analyse ist auf Basis der vorliegenden DATEV-Daten erstellt. Sie ersetzt KEINE rechtsverbindliche Insolvenzpruefung durch einen zugelassenen Insolvenzberater oder Rechtsanwalt.</w:t>
            </w:r>
          </w:p>
        </w:tc>
      </w:tr>
    </w:tbl>
    <w:p>
      <w:pPr>
        <w:spacing w:after="0" w:before="120"/>
      </w:pPr>
      <w:r>
        <w:t xml:space="preserve"/>
      </w:r>
    </w:p>
    <w:p>
      <w:pPr>
        <w:pStyle w:val="Heading2"/>
        <w:spacing w:after="140" w:before="280"/>
      </w:pPr>
      <w:r>
        <w:rPr>
          <w:rFonts w:ascii="Arial" w:cs="Arial" w:eastAsia="Arial" w:hAnsi="Arial"/>
          <w:b/>
          <w:bCs/>
          <w:color w:val="1A5276"/>
          <w:sz w:val="28"/>
          <w:szCs w:val="28"/>
        </w:rPr>
        <w:t xml:space="preserve">3.1 Insolvenzampel Wagglz GmbH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DDDDDD" w:sz="4"/>
              <w:left w:val="single" w:color="DDDDDD" w:sz="4"/>
              <w:bottom w:val="single" w:color="DDDDDD" w:sz="4"/>
              <w:right w:val="single" w:color="DDDDDD" w:sz="4"/>
            </w:tcBorders>
            <w:shd w:fill="FADBD8" w:val="clear"/>
            <w:tcMar>
              <w:top w:type="dxa" w:w="100"/>
              <w:left w:type="dxa" w:w="140"/>
              <w:bottom w:type="dxa" w:w="100"/>
              <w:right w:type="dxa" w:w="140"/>
            </w:tcMar>
          </w:tcPr>
          <w:p>
            <w:r>
              <w:rPr>
                <w:rFonts w:ascii="Arial" w:cs="Arial" w:eastAsia="Arial" w:hAnsi="Arial"/>
                <w:color w:val="7F8C8D"/>
                <w:sz w:val="18"/>
                <w:szCs w:val="18"/>
              </w:rPr>
              <w:t xml:space="preserve">Ueberschuldung (§19 InsO)</w:t>
            </w:r>
          </w:p>
          <w:p>
            <w:r>
              <w:rPr>
                <w:rFonts w:ascii="Arial" w:cs="Arial" w:eastAsia="Arial" w:hAnsi="Arial"/>
                <w:b/>
                <w:bCs/>
                <w:color w:val="1C2833"/>
                <w:sz w:val="26"/>
                <w:szCs w:val="26"/>
              </w:rPr>
              <w:t xml:space="preserve">ROT: Ja</w:t>
            </w:r>
          </w:p>
        </w:tc>
        <w:tc>
          <w:tcPr>
            <w:tcW w:type="dxa" w:w="3066"/>
            <w:tcBorders>
              <w:top w:val="single" w:color="DDDDDD" w:sz="4"/>
              <w:left w:val="single" w:color="DDDDDD" w:sz="4"/>
              <w:bottom w:val="single" w:color="DDDDDD" w:sz="4"/>
              <w:right w:val="single" w:color="DDDDDD" w:sz="4"/>
            </w:tcBorders>
            <w:shd w:fill="FDEBD0" w:val="clear"/>
            <w:tcMar>
              <w:top w:type="dxa" w:w="100"/>
              <w:left w:type="dxa" w:w="140"/>
              <w:bottom w:type="dxa" w:w="100"/>
              <w:right w:type="dxa" w:w="140"/>
            </w:tcMar>
          </w:tcPr>
          <w:p>
            <w:r>
              <w:rPr>
                <w:rFonts w:ascii="Arial" w:cs="Arial" w:eastAsia="Arial" w:hAnsi="Arial"/>
                <w:color w:val="7F8C8D"/>
                <w:sz w:val="18"/>
                <w:szCs w:val="18"/>
              </w:rPr>
              <w:t xml:space="preserve">Zahlungsunfaehigkeit (§17 InsO)</w:t>
            </w:r>
          </w:p>
          <w:p>
            <w:r>
              <w:rPr>
                <w:rFonts w:ascii="Arial" w:cs="Arial" w:eastAsia="Arial" w:hAnsi="Arial"/>
                <w:b/>
                <w:bCs/>
                <w:color w:val="1C2833"/>
                <w:sz w:val="26"/>
                <w:szCs w:val="26"/>
              </w:rPr>
              <w:t xml:space="preserve">AMBER: Wahrscheinlich</w:t>
            </w:r>
          </w:p>
        </w:tc>
        <w:tc>
          <w:tcPr>
            <w:tcW w:type="dxa" w:w="3066"/>
            <w:tcBorders>
              <w:top w:val="single" w:color="DDDDDD" w:sz="4"/>
              <w:left w:val="single" w:color="DDDDDD" w:sz="4"/>
              <w:bottom w:val="single" w:color="DDDDDD" w:sz="4"/>
              <w:right w:val="single" w:color="DDDDDD" w:sz="4"/>
            </w:tcBorders>
            <w:shd w:fill="FDEBD0" w:val="clear"/>
            <w:tcMar>
              <w:top w:type="dxa" w:w="100"/>
              <w:left w:type="dxa" w:w="140"/>
              <w:bottom w:type="dxa" w:w="100"/>
              <w:right w:type="dxa" w:w="140"/>
            </w:tcMar>
          </w:tcPr>
          <w:p>
            <w:r>
              <w:rPr>
                <w:rFonts w:ascii="Arial" w:cs="Arial" w:eastAsia="Arial" w:hAnsi="Arial"/>
                <w:color w:val="7F8C8D"/>
                <w:sz w:val="18"/>
                <w:szCs w:val="18"/>
              </w:rPr>
              <w:t xml:space="preserve">Rangruecktritt vorhanden</w:t>
            </w:r>
          </w:p>
          <w:p>
            <w:r>
              <w:rPr>
                <w:rFonts w:ascii="Arial" w:cs="Arial" w:eastAsia="Arial" w:hAnsi="Arial"/>
                <w:b/>
                <w:bCs/>
                <w:color w:val="1C2833"/>
                <w:sz w:val="26"/>
                <w:szCs w:val="26"/>
              </w:rPr>
              <w:t xml:space="preserve">UNKLAR: Nicht im JA</w:t>
            </w:r>
          </w:p>
        </w:tc>
      </w:tr>
      <w:tr>
        <w:tc>
          <w:tcPr>
            <w:tcW w:type="dxa" w:w="3066"/>
            <w:tcBorders>
              <w:top w:val="single" w:color="DDDDDD" w:sz="4"/>
              <w:left w:val="single" w:color="DDDDDD" w:sz="4"/>
              <w:bottom w:val="single" w:color="DDDDDD" w:sz="4"/>
              <w:right w:val="single" w:color="DDDDDD" w:sz="4"/>
            </w:tcBorders>
            <w:shd w:fill="FADBD8" w:val="clear"/>
            <w:tcMar>
              <w:top w:type="dxa" w:w="100"/>
              <w:left w:type="dxa" w:w="140"/>
              <w:bottom w:type="dxa" w:w="100"/>
              <w:right w:type="dxa" w:w="140"/>
            </w:tcMar>
          </w:tcPr>
          <w:p>
            <w:r>
              <w:rPr>
                <w:rFonts w:ascii="Arial" w:cs="Arial" w:eastAsia="Arial" w:hAnsi="Arial"/>
                <w:color w:val="7F8C8D"/>
                <w:sz w:val="18"/>
                <w:szCs w:val="18"/>
              </w:rPr>
              <w:t xml:space="preserve">Fortfuehrungsprognose</w:t>
            </w:r>
          </w:p>
          <w:p>
            <w:r>
              <w:rPr>
                <w:rFonts w:ascii="Arial" w:cs="Arial" w:eastAsia="Arial" w:hAnsi="Arial"/>
                <w:b/>
                <w:bCs/>
                <w:color w:val="1C2833"/>
                <w:sz w:val="26"/>
                <w:szCs w:val="26"/>
              </w:rPr>
              <w:t xml:space="preserve">NEGATIV: 0 EUR Umsatz</w:t>
            </w:r>
          </w:p>
        </w:tc>
        <w:tc>
          <w:tcPr>
            <w:tcW w:type="dxa" w:w="3066"/>
            <w:tcBorders>
              <w:top w:val="single" w:color="DDDDDD" w:sz="4"/>
              <w:left w:val="single" w:color="DDDDDD" w:sz="4"/>
              <w:bottom w:val="single" w:color="DDDDDD" w:sz="4"/>
              <w:right w:val="single" w:color="DDDDDD" w:sz="4"/>
            </w:tcBorders>
            <w:shd w:fill="FDEBD0" w:val="clear"/>
            <w:tcMar>
              <w:top w:type="dxa" w:w="100"/>
              <w:left w:type="dxa" w:w="140"/>
              <w:bottom w:type="dxa" w:w="100"/>
              <w:right w:type="dxa" w:w="140"/>
            </w:tcMar>
          </w:tcPr>
          <w:p>
            <w:r>
              <w:rPr>
                <w:rFonts w:ascii="Arial" w:cs="Arial" w:eastAsia="Arial" w:hAnsi="Arial"/>
                <w:color w:val="7F8C8D"/>
                <w:sz w:val="18"/>
                <w:szCs w:val="18"/>
              </w:rPr>
              <w:t xml:space="preserve">Restliquiditaet (31.12.24)</w:t>
            </w:r>
          </w:p>
          <w:p>
            <w:r>
              <w:rPr>
                <w:rFonts w:ascii="Arial" w:cs="Arial" w:eastAsia="Arial" w:hAnsi="Arial"/>
                <w:b/>
                <w:bCs/>
                <w:color w:val="1C2833"/>
                <w:sz w:val="26"/>
                <w:szCs w:val="26"/>
              </w:rPr>
              <w:t xml:space="preserve">2.388 EUR</w:t>
            </w:r>
          </w:p>
        </w:tc>
        <w:tc>
          <w:tcPr>
            <w:tcW w:type="dxa" w:w="3066"/>
            <w:tcBorders>
              <w:top w:val="single" w:color="DDDDDD" w:sz="4"/>
              <w:left w:val="single" w:color="DDDDDD" w:sz="4"/>
              <w:bottom w:val="single" w:color="DDDDDD" w:sz="4"/>
              <w:right w:val="single" w:color="DDDDDD" w:sz="4"/>
            </w:tcBorders>
            <w:shd w:fill="FDEBD0" w:val="clear"/>
            <w:tcMar>
              <w:top w:type="dxa" w:w="100"/>
              <w:left w:type="dxa" w:w="140"/>
              <w:bottom w:type="dxa" w:w="100"/>
              <w:right w:type="dxa" w:w="140"/>
            </w:tcMar>
          </w:tcPr>
          <w:p>
            <w:r>
              <w:rPr>
                <w:rFonts w:ascii="Arial" w:cs="Arial" w:eastAsia="Arial" w:hAnsi="Arial"/>
                <w:color w:val="7F8C8D"/>
                <w:sz w:val="18"/>
                <w:szCs w:val="18"/>
              </w:rPr>
              <w:t xml:space="preserve">Monatl. Mittelabfluss 2025</w:t>
            </w:r>
          </w:p>
          <w:p>
            <w:r>
              <w:rPr>
                <w:rFonts w:ascii="Arial" w:cs="Arial" w:eastAsia="Arial" w:hAnsi="Arial"/>
                <w:b/>
                <w:bCs/>
                <w:color w:val="1C2833"/>
                <w:sz w:val="26"/>
                <w:szCs w:val="26"/>
              </w:rPr>
              <w:t xml:space="preserve">~1.372 EUR/Monat</w:t>
            </w:r>
          </w:p>
        </w:tc>
      </w:tr>
    </w:tbl>
    <w:p>
      <w:pPr>
        <w:spacing w:after="0" w:before="120"/>
      </w:pPr>
      <w:r>
        <w:t xml:space="preserve"/>
      </w:r>
    </w:p>
    <w:p>
      <w:pPr>
        <w:pStyle w:val="Heading2"/>
        <w:spacing w:after="140" w:before="280"/>
      </w:pPr>
      <w:r>
        <w:rPr>
          <w:rFonts w:ascii="Arial" w:cs="Arial" w:eastAsia="Arial" w:hAnsi="Arial"/>
          <w:b/>
          <w:bCs/>
          <w:color w:val="1A5276"/>
          <w:sz w:val="28"/>
          <w:szCs w:val="28"/>
        </w:rPr>
        <w:t xml:space="preserve">3.2 Ueberschuldungspruefung nach §19 InsO</w:t>
      </w:r>
    </w:p>
    <w:p>
      <w:pPr>
        <w:pStyle w:val="Heading3"/>
        <w:spacing w:after="100" w:before="200"/>
      </w:pPr>
      <w:r>
        <w:rPr>
          <w:rFonts w:ascii="Arial" w:cs="Arial" w:eastAsia="Arial" w:hAnsi="Arial"/>
          <w:b/>
          <w:bCs/>
          <w:color w:val="2E4057"/>
          <w:sz w:val="24"/>
          <w:szCs w:val="24"/>
        </w:rPr>
        <w:t xml:space="preserve">Zweistufiger Test: Ueberschuldungsstatus + Fortfuehrungsprognose</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800"/>
      </w:tblGrid>
      <w:tr>
        <w:trPr>
          <w:tblHeader/>
        </w:trPr>
        <w:tc>
          <w:tcPr>
            <w:tcW w:type="dxa" w:w="3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Pruefkriterium</w:t>
            </w:r>
          </w:p>
        </w:tc>
        <w:tc>
          <w:tcPr>
            <w:tcW w:type="dxa" w:w="2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Ergebnis</w:t>
            </w:r>
          </w:p>
        </w:tc>
        <w:tc>
          <w:tcPr>
            <w:tcW w:type="dxa" w:w="2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Bewertung</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STUFE 1: Bilanzieller Ueberschuldungsstatus</w:t>
            </w:r>
          </w:p>
        </w:tc>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Aktivposten: Umlaufvermoegen</w:t>
            </w:r>
          </w:p>
        </w:tc>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4.099,00 EUR</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Niedrig</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Passivposten: Verbindlichkeiten + Rueckstellungen</w:t>
            </w:r>
          </w:p>
        </w:tc>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32.025,89 EUR</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Hoch</w:t>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davon Gesellschafterdarlehen</w:t>
            </w:r>
          </w:p>
        </w:tc>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29.397,35 EUR</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Schluessel</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Saldo (ohne Rangruecktritt)</w:t>
            </w:r>
          </w:p>
        </w:tc>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-27.926,89 EUR</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UEBERSCHULDET</w:t>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Saldo (MIT Rangruecktritt Gesellschafterdarlehen)</w:t>
            </w:r>
          </w:p>
        </w:tc>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+1.470,46 EUR</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NICHT ueberschuldet</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STUFE 2: Fortfuehrungsprognose</w:t>
            </w:r>
          </w:p>
        </w:tc>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Umsatz 2024 (8 Monate)</w:t>
            </w:r>
          </w:p>
        </w:tc>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0,00 EUR</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NEGATIV</w:t>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Laufende Kosten/Monat (Hochrechnung)</w:t>
            </w:r>
          </w:p>
        </w:tc>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~2.290 EUR</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Kritisch</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Bekannte Einnahmen 2025</w:t>
            </w:r>
          </w:p>
        </w:tc>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Nicht bestaetigt</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Unklar</w:t>
            </w:r>
          </w:p>
        </w:tc>
      </w:tr>
      <w:tr>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Geplanter Liquiditaetszufluss</w:t>
            </w:r>
          </w:p>
        </w:tc>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Cafe-Venture (unbestimmt)</w:t>
            </w:r>
          </w:p>
        </w:tc>
        <w:tc>
          <w:tcPr>
            <w:tcW w:type="dxa" w:w="2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Spekulativ</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Fortfuehrungsprognose gesamt</w:t>
            </w:r>
          </w:p>
        </w:tc>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DERZEIT NEGATIV</w:t>
            </w:r>
          </w:p>
        </w:tc>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ROT</w:t>
            </w:r>
          </w:p>
        </w:tc>
      </w:tr>
    </w:tbl>
    <w:p>
      <w:pPr>
        <w:spacing w:after="0" w:before="120"/>
      </w:pPr>
      <w:r>
        <w:t xml:space="preserve"/>
      </w:r>
    </w:p>
    <w:p>
      <w:pPr>
        <w:pStyle w:val="Heading3"/>
        <w:spacing w:after="100" w:before="200"/>
      </w:pPr>
      <w:r>
        <w:rPr>
          <w:rFonts w:ascii="Arial" w:cs="Arial" w:eastAsia="Arial" w:hAnsi="Arial"/>
          <w:b/>
          <w:bCs/>
          <w:color w:val="2E4057"/>
          <w:sz w:val="24"/>
          <w:szCs w:val="24"/>
        </w:rPr>
        <w:t xml:space="preserve">Schlussfolgerung §15a InsO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4"/>
              <w:left w:val="single" w:color="C0392B" w:sz="4"/>
              <w:bottom w:val="single" w:color="C0392B" w:sz="4"/>
              <w:right w:val="single" w:color="C0392B" w:sz="4"/>
            </w:tcBorders>
            <w:shd w:fill="FADBD8" w:val="clear"/>
            <w:tcMar>
              <w:top w:type="dxa" w:w="160"/>
              <w:left w:type="dxa" w:w="200"/>
              <w:bottom w:type="dxa" w:w="160"/>
              <w:right w:type="dxa" w:w="200"/>
            </w:tcMar>
          </w:tcPr>
          <w:p>
            <w:r>
              <w:rPr>
                <w:rFonts w:ascii="Arial" w:cs="Arial" w:eastAsia="Arial" w:hAnsi="Arial"/>
                <w:b/>
                <w:bCs/>
                <w:color w:val="C0392B"/>
                <w:sz w:val="22"/>
                <w:szCs w:val="22"/>
              </w:rPr>
              <w:t xml:space="preserve">Rechtliche Lage:</w:t>
            </w:r>
          </w:p>
          <w:p>
            <w:pPr>
              <w:spacing w:after="0" w:before="0"/>
            </w:pPr>
            <w:r>
              <w:t xml:space="preserve"/>
            </w:r>
          </w:p>
          <w:p>
            <w:r>
              <w:rPr>
                <w:rFonts w:ascii="Arial" w:cs="Arial" w:eastAsia="Arial" w:hAnsi="Arial"/>
                <w:color w:val="1C2833"/>
                <w:sz w:val="20"/>
                <w:szCs w:val="20"/>
              </w:rPr>
              <w:t xml:space="preserve">Die Wagglz GmbH ist gem. §19 InsO ueberschuldet (bilanzieller Fehlbetrag 27.927 EUR). WENN kein wirksamer Rangruecktritt des Gesellschafterdarlehens vorliegt, besteht nach §15a InsO eine Antragspflicht des Geschaeftsfuehrers (Oleg Kober) mit einer Frist von maximal 21 Tagen nach Kenntnis des Insolvenzgrundes.</w:t>
            </w:r>
          </w:p>
          <w:p>
            <w:pPr>
              <w:spacing w:after="0" w:before="0"/>
            </w:pPr>
            <w:r>
              <w:t xml:space="preserve"/>
            </w:r>
          </w:p>
          <w:p>
            <w:r>
              <w:rPr>
                <w:rFonts w:ascii="Arial" w:cs="Arial" w:eastAsia="Arial" w:hAnsi="Arial"/>
                <w:b/>
                <w:bCs/>
                <w:color w:val="C0392B"/>
                <w:sz w:val="20"/>
                <w:szCs w:val="20"/>
              </w:rPr>
              <w:t xml:space="preserve">ABER: Die 21-Tage-Frist laeuft ab dem Zeitpunkt der KENNTNIS. Der JA wurde am 30.06.2025 festgestellt — ab diesem Datum begann die Frist zu laufen. Stand heute (12.06.2026) waere die Frist laengst abgelaufen.</w:t>
            </w:r>
          </w:p>
          <w:p>
            <w:pPr>
              <w:spacing w:after="0" w:before="0"/>
            </w:pPr>
            <w:r>
              <w:t xml:space="preserve"/>
            </w:r>
          </w:p>
          <w:p>
            <w:r>
              <w:rPr>
                <w:rFonts w:ascii="Arial" w:cs="Arial" w:eastAsia="Arial" w:hAnsi="Arial"/>
                <w:color w:val="1C2833"/>
                <w:sz w:val="20"/>
                <w:szCs w:val="20"/>
              </w:rPr>
              <w:t xml:space="preserve">Rettungsanker: Ein qualifizierter Rangruecktritt des Gesellschafterdarlehens (29.397 EUR) wuerde die bilanzielle Ueberschuldung beseitigen. Dies muss unverzueglich und schriftlich formalisiert werden.</w:t>
            </w:r>
          </w:p>
        </w:tc>
      </w:tr>
    </w:tbl>
    <w:p>
      <w:pPr>
        <w:spacing w:after="0" w:before="120"/>
      </w:pPr>
      <w:r>
        <w:t xml:space="preserve"/>
      </w:r>
    </w:p>
    <w:p>
      <w:pPr>
        <w:pStyle w:val="Heading2"/>
        <w:spacing w:after="140" w:before="280"/>
      </w:pPr>
      <w:r>
        <w:rPr>
          <w:rFonts w:ascii="Arial" w:cs="Arial" w:eastAsia="Arial" w:hAnsi="Arial"/>
          <w:b/>
          <w:bCs/>
          <w:color w:val="1A5276"/>
          <w:sz w:val="28"/>
          <w:szCs w:val="28"/>
        </w:rPr>
        <w:t xml:space="preserve">3.3 Rangruecktritt: Was ist zu tun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000"/>
        <w:gridCol w:w="3200"/>
      </w:tblGrid>
      <w:tr>
        <w:trPr>
          <w:tblHeader/>
        </w:trPr>
        <w:tc>
          <w:tcPr>
            <w:tcW w:type="dxa" w:w="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Schritt</w:t>
            </w:r>
          </w:p>
        </w:tc>
        <w:tc>
          <w:tcPr>
            <w:tcW w:type="dxa" w:w="34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Massnahme</w:t>
            </w:r>
          </w:p>
        </w:tc>
        <w:tc>
          <w:tcPr>
            <w:tcW w:type="dxa" w:w="2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Zeitrahmen</w:t>
            </w:r>
          </w:p>
        </w:tc>
        <w:tc>
          <w:tcPr>
            <w:tcW w:type="dxa" w:w="32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Wirkung</w:t>
            </w:r>
          </w:p>
        </w:tc>
      </w:tr>
      <w:tr>
        <w:tc>
          <w:tcPr>
            <w:tcW w:type="dxa" w:w="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w:t>
            </w:r>
          </w:p>
        </w:tc>
        <w:tc>
          <w:tcPr>
            <w:tcW w:type="dxa" w:w="3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Rechtsanwalt mit InsO-Erfahrung beauftragen</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SOFORT</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Rechtssichere Pruefung der Lage</w:t>
            </w:r>
          </w:p>
        </w:tc>
      </w:tr>
      <w:tr>
        <w:tc>
          <w:tcPr>
            <w:tcW w:type="dxa" w:w="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w:t>
            </w:r>
          </w:p>
        </w:tc>
        <w:tc>
          <w:tcPr>
            <w:tcW w:type="dxa" w:w="3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Qualifizierten Rangruecktritt formulieren</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Innerhalb 1 Woche</w:t>
            </w:r>
          </w:p>
        </w:tc>
        <w:tc>
          <w:tcPr>
            <w:tcW w:type="dxa" w:w="3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Beseitigt bilanziellen Ueberschuldungsgrund</w:t>
            </w:r>
          </w:p>
        </w:tc>
      </w:tr>
      <w:tr>
        <w:tc>
          <w:tcPr>
            <w:tcW w:type="dxa" w:w="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w:t>
            </w:r>
          </w:p>
        </w:tc>
        <w:tc>
          <w:tcPr>
            <w:tcW w:type="dxa" w:w="3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Rangruecktrittserklaerung unterzeichnen</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Zeitnah nach Erstellung</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Gilt rueckwirkend ab Unterzeichnung</w:t>
            </w:r>
          </w:p>
        </w:tc>
      </w:tr>
      <w:tr>
        <w:tc>
          <w:tcPr>
            <w:tcW w:type="dxa" w:w="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4</w:t>
            </w:r>
          </w:p>
        </w:tc>
        <w:tc>
          <w:tcPr>
            <w:tcW w:type="dxa" w:w="3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Fortfuehrungsprognose erstellen lassen</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Mit Anwalt/STB</w:t>
            </w:r>
          </w:p>
        </w:tc>
        <w:tc>
          <w:tcPr>
            <w:tcW w:type="dxa" w:w="3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Zweite Saule des §19 InsO Tests</w:t>
            </w:r>
          </w:p>
        </w:tc>
      </w:tr>
      <w:tr>
        <w:tc>
          <w:tcPr>
            <w:tcW w:type="dxa" w:w="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5</w:t>
            </w:r>
          </w:p>
        </w:tc>
        <w:tc>
          <w:tcPr>
            <w:tcW w:type="dxa" w:w="3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Regelmaessige Liquiditaetsplanung</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Monatlich</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Fruehwarnsystem §17 InsO Zahlungsunfaehigkeit</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r>
              <w:rPr>
                <w:rFonts w:ascii="Arial" w:cs="Arial" w:eastAsia="Arial" w:hAnsi="Arial"/>
                <w:b/>
                <w:bCs/>
                <w:color w:val="1C2833"/>
                <w:sz w:val="20"/>
                <w:szCs w:val="20"/>
              </w:rPr>
              <w:t xml:space="preserve">ℹ </w:t>
            </w:r>
            <w:r>
              <w:rPr>
                <w:rFonts w:ascii="Arial" w:cs="Arial" w:eastAsia="Arial" w:hAnsi="Arial"/>
                <w:color w:val="1C2833"/>
                <w:sz w:val="20"/>
                <w:szCs w:val="20"/>
              </w:rPr>
              <w:t xml:space="preserve">Noch ausstehende 12.500 EUR Stammeinlage (2. Haelfte des Stammkapitals): Oleg koennte diese einzahlen und damit das EK um 12.500 EUR erhoehen. Das wuerde den Fehlbetrag von 27.927 EUR auf 15.427 EUR reduzieren — allein aber nicht ausreichend.</w:t>
            </w:r>
          </w:p>
        </w:tc>
      </w:tr>
    </w:tbl>
    <w:p>
      <w:r>
        <w:br w:type="page"/>
      </w:r>
    </w:p>
    <w:p>
      <w:pPr>
        <w:pStyle w:val="Heading1"/>
        <w:spacing w:after="180" w:before="360"/>
      </w:pPr>
      <w:r>
        <w:rPr>
          <w:rFonts w:ascii="Arial" w:cs="Arial" w:eastAsia="Arial" w:hAnsi="Arial"/>
          <w:b/>
          <w:bCs/>
          <w:color w:val="154360"/>
          <w:sz w:val="36"/>
          <w:szCs w:val="36"/>
        </w:rPr>
        <w:t xml:space="preserve">4. Unternehmensstratege — Wege nach vorne</w:t>
      </w:r>
    </w:p>
    <w:p>
      <w:pPr>
        <w:pBdr>
          <w:bottom w:val="single" w:color="154360" w:sz="6"/>
        </w:pBdr>
        <w:spacing w:after="80" w:before="80"/>
      </w:pPr>
      <w:r>
        <w:t xml:space="preserve"/>
      </w:r>
    </w:p>
    <w:p>
      <w:pPr>
        <w:pStyle w:val="Heading2"/>
        <w:spacing w:after="140" w:before="280"/>
      </w:pPr>
      <w:r>
        <w:rPr>
          <w:rFonts w:ascii="Arial" w:cs="Arial" w:eastAsia="Arial" w:hAnsi="Arial"/>
          <w:b/>
          <w:bCs/>
          <w:color w:val="1A5276"/>
          <w:sz w:val="28"/>
          <w:szCs w:val="28"/>
        </w:rPr>
        <w:t xml:space="preserve">4.1 Strategische Ausgangslage</w:t>
      </w:r>
    </w:p>
    <w:p>
      <w:pPr>
        <w:spacing w:after="120" w:before="120"/>
        <w:jc w:val="left"/>
      </w:pPr>
      <w:r>
        <w:rPr>
          <w:rFonts w:ascii="Arial" w:cs="Arial" w:eastAsia="Arial" w:hAnsi="Arial"/>
          <w:b w:val="false"/>
          <w:bCs w:val="false"/>
          <w:i w:val="false"/>
          <w:iCs w:val="false"/>
          <w:color w:val="1C2833"/>
          <w:sz w:val="20"/>
          <w:szCs w:val="20"/>
        </w:rPr>
        <w:t xml:space="preserve">Die Wagglz GmbH hat 2024 in der Gruemdungsphase Verluste von 40.427 EUR akkumuliert — bei NULL Umsatz. Das ist ein Warnsignal, zeigt aber auch: Der Betrieb hat sich noch nicht gefunden. Gleichzeitig existieren 39.996 EUR Verlustvortraege die bei Gewinnen steuerlich wertvoll sind.</w:t>
      </w:r>
    </w:p>
    <w:p>
      <w:pPr>
        <w:spacing w:after="0" w:before="120"/>
      </w:pPr>
      <w:r>
        <w:t xml:space="preserve"/>
      </w:r>
    </w:p>
    <w:p>
      <w:pPr>
        <w:pStyle w:val="Heading3"/>
        <w:spacing w:after="100" w:before="200"/>
      </w:pPr>
      <w:r>
        <w:rPr>
          <w:rFonts w:ascii="Arial" w:cs="Arial" w:eastAsia="Arial" w:hAnsi="Arial"/>
          <w:b/>
          <w:bCs/>
          <w:color w:val="2E4057"/>
          <w:sz w:val="24"/>
          <w:szCs w:val="24"/>
        </w:rPr>
        <w:t xml:space="preserve">Kostenanalyse: Was hat die GmbH 2024 fuer Geld ausgegeben?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000"/>
        <w:gridCol w:w="3800"/>
      </w:tblGrid>
      <w:tr>
        <w:trPr>
          <w:tblHeader/>
        </w:trPr>
        <w:tc>
          <w:tcPr>
            <w:tcW w:type="dxa" w:w="3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Kostenkategorie</w:t>
            </w:r>
          </w:p>
        </w:tc>
        <w:tc>
          <w:tcPr>
            <w:tcW w:type="dxa" w:w="14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2024 EUR</w:t>
            </w:r>
          </w:p>
        </w:tc>
        <w:tc>
          <w:tcPr>
            <w:tcW w:type="dxa" w:w="2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der Gesamtkosten</w:t>
            </w:r>
          </w:p>
        </w:tc>
        <w:tc>
          <w:tcPr>
            <w:tcW w:type="dxa" w:w="3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Bewertung</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Rechts- &amp; Beratungskosten</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18.909</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48,9%</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Einmalige Gruendungskosten — nicht wiederkehrend</w:t>
            </w:r>
          </w:p>
        </w:tc>
      </w:tr>
      <w:tr>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Fremdleistungen (Vertrieb+Admin)</w:t>
            </w:r>
          </w:p>
        </w:tc>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11.478</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29,7%</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Aufbau ohne Ergebnis — Optimierungspotenzial!</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Software/Lizenzen</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2.956</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7,6%</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AWS, GoDaddy, OpenAI etc. — pruefe was aktiv</w:t>
            </w:r>
          </w:p>
        </w:tc>
      </w:tr>
      <w:tr>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Kfz-Kosten</w:t>
            </w:r>
          </w:p>
        </w:tc>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1.101</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2,8%</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Fremdfahrzeuge — ggf. reduzierbar</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Bewirtungskosten</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1.438</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3,7%</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Hoher Anteil fuer Startup ohne Umsatz</w:t>
            </w:r>
          </w:p>
        </w:tc>
      </w:tr>
      <w:tr>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Sonstige (Kommunik., Versich., Buero)</w:t>
            </w:r>
          </w:p>
        </w:tc>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2.780</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7,2%</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Fixkosten Sockel ~350 EUR/Monat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GESAMT</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38.662</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100%</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r>
              <w:rPr>
                <w:rFonts w:ascii="Arial" w:cs="Arial" w:eastAsia="Arial" w:hAnsi="Arial"/>
                <w:b/>
                <w:bCs/>
                <w:color w:val="1C2833"/>
                <w:sz w:val="20"/>
                <w:szCs w:val="20"/>
              </w:rPr>
              <w:t xml:space="preserve">▲ ACHTUNG: </w:t>
            </w:r>
            <w:r>
              <w:rPr>
                <w:rFonts w:ascii="Arial" w:cs="Arial" w:eastAsia="Arial" w:hAnsi="Arial"/>
                <w:color w:val="1C2833"/>
                <w:sz w:val="20"/>
                <w:szCs w:val="20"/>
              </w:rPr>
              <w:t xml:space="preserve">Die 11.478 EUR Fremdleistungen (Vertrieb+Admin) ohne jeden Umsatzeffekt sind die kritischste Kostenposition fuer 2025 ff. Hier muss Klarheit herrschen: Was wurde geliefert? Was wird weiterbeauftragt?</w:t>
            </w:r>
          </w:p>
        </w:tc>
      </w:tr>
    </w:tbl>
    <w:p>
      <w:pPr>
        <w:spacing w:after="0" w:before="120"/>
      </w:pPr>
      <w:r>
        <w:t xml:space="preserve"/>
      </w:r>
    </w:p>
    <w:p>
      <w:pPr>
        <w:pStyle w:val="Heading2"/>
        <w:spacing w:after="140" w:before="280"/>
      </w:pPr>
      <w:r>
        <w:rPr>
          <w:rFonts w:ascii="Arial" w:cs="Arial" w:eastAsia="Arial" w:hAnsi="Arial"/>
          <w:b/>
          <w:bCs/>
          <w:color w:val="1A5276"/>
          <w:sz w:val="28"/>
          <w:szCs w:val="28"/>
        </w:rPr>
        <w:t xml:space="preserve">4.2 Szenarien fuer Wagglz GmbH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1400"/>
        <w:gridCol w:w="2000"/>
      </w:tblGrid>
      <w:tr>
        <w:trPr>
          <w:tblHeader/>
        </w:trPr>
        <w:tc>
          <w:tcPr>
            <w:tcW w:type="dxa" w:w="14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Szenario</w:t>
            </w:r>
          </w:p>
        </w:tc>
        <w:tc>
          <w:tcPr>
            <w:tcW w:type="dxa" w:w="2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Beschreibung</w:t>
            </w:r>
          </w:p>
        </w:tc>
        <w:tc>
          <w:tcPr>
            <w:tcW w:type="dxa" w:w="1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Umsatz-Potenzial</w:t>
            </w:r>
          </w:p>
        </w:tc>
        <w:tc>
          <w:tcPr>
            <w:tcW w:type="dxa" w:w="14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Risiko</w:t>
            </w:r>
          </w:p>
        </w:tc>
        <w:tc>
          <w:tcPr>
            <w:tcW w:type="dxa" w:w="2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Empfehlung</w:t>
            </w:r>
          </w:p>
        </w:tc>
      </w:tr>
      <w:tr>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A: Cafe-Venture mit Hai</w:t>
            </w:r>
          </w:p>
        </w:tc>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Wagglz GmbH als Betreiber oder Franchise-Nehmer eines Cafes in Berlin/Brandenburg</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20-80k EUR/Jahr</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HOCH: Immobilien, Anlaufkosten, Betrieb</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Nur wenn Eigenkapital vorhanden</w:t>
            </w:r>
          </w:p>
        </w:tc>
      </w:tr>
      <w:tr>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B: Digitale Vermittlungsplattform</w:t>
            </w:r>
          </w:p>
        </w:tc>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Urspruengliche Idee: Online-Plattform aufbauen</w:t>
            </w:r>
          </w:p>
        </w:tc>
        <w:tc>
          <w:tcPr>
            <w:tcW w:type="dxa" w:w="1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Skalierbar</w:t>
            </w:r>
          </w:p>
        </w:tc>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MITTEL: Entwicklungskosten, Markt</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Braucht Produkt-MVP</w:t>
            </w:r>
          </w:p>
        </w:tc>
      </w:tr>
      <w:tr>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C: Holding-Funktion</w:t>
            </w:r>
          </w:p>
        </w:tc>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Wagglz als Holding, Aktivitaeten in Tochter-UG</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Passiv</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NIEDRIG: Nur Verwaltung</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Kosten minimieren bis Strategie klar</w:t>
            </w:r>
          </w:p>
        </w:tc>
      </w:tr>
      <w:tr>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D: Liquidation + Neugr.</w:t>
            </w:r>
          </w:p>
        </w:tc>
        <w:tc>
          <w:tcPr>
            <w:tcW w:type="dxa" w:w="2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GmbH auflosen, Verlust geltend machen, neue Einheit aufbauen</w:t>
            </w:r>
          </w:p>
        </w:tc>
        <w:tc>
          <w:tcPr>
            <w:tcW w:type="dxa" w:w="1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0 kurzfristig</w:t>
            </w:r>
          </w:p>
        </w:tc>
        <w:tc>
          <w:tcPr>
            <w:tcW w:type="dxa" w:w="1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NIEDRIG-MITTEL</w:t>
            </w:r>
          </w:p>
        </w:tc>
        <w:tc>
          <w:tcPr>
            <w:tcW w:type="dxa" w:w="2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Steueroptimiert aber Aufwand</w:t>
            </w:r>
          </w:p>
        </w:tc>
      </w:tr>
    </w:tbl>
    <w:p>
      <w:pPr>
        <w:spacing w:after="0" w:before="120"/>
      </w:pPr>
      <w:r>
        <w:t xml:space="preserve"/>
      </w:r>
    </w:p>
    <w:p>
      <w:pPr>
        <w:pStyle w:val="Heading2"/>
        <w:spacing w:after="140" w:before="280"/>
      </w:pPr>
      <w:r>
        <w:rPr>
          <w:rFonts w:ascii="Arial" w:cs="Arial" w:eastAsia="Arial" w:hAnsi="Arial"/>
          <w:b/>
          <w:bCs/>
          <w:color w:val="1A5276"/>
          <w:sz w:val="28"/>
          <w:szCs w:val="28"/>
        </w:rPr>
        <w:t xml:space="preserve">4.3 Cafe mit Hai: Erstbewertung</w:t>
      </w:r>
    </w:p>
    <w:p>
      <w:pPr>
        <w:spacing w:after="120" w:before="120"/>
        <w:jc w:val="left"/>
      </w:pPr>
      <w:r>
        <w:rPr>
          <w:rFonts w:ascii="Arial" w:cs="Arial" w:eastAsia="Arial" w:hAnsi="Arial"/>
          <w:b w:val="false"/>
          <w:bCs w:val="false"/>
          <w:i w:val="false"/>
          <w:iCs w:val="false"/>
          <w:color w:val="1C2833"/>
          <w:sz w:val="20"/>
          <w:szCs w:val="20"/>
        </w:rPr>
        <w:t xml:space="preserve">Auf Basis der Angaben (Cafe-Planung mit Hai, Umsatzgenerierung fuer Wagglz GmbH):</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rPr>
          <w:tblHeader/>
        </w:trPr>
        <w:tc>
          <w:tcPr>
            <w:tcW w:type="dxa" w:w="24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Aspekt</w:t>
            </w:r>
          </w:p>
        </w:tc>
        <w:tc>
          <w:tcPr>
            <w:tcW w:type="dxa" w:w="3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Einschaetzung</w:t>
            </w:r>
          </w:p>
        </w:tc>
        <w:tc>
          <w:tcPr>
            <w:tcW w:type="dxa" w:w="3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Anmerkung</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Strukturwahl</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Wagglz GmbH als Betreiber (oder neue UG/GmbH)</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Vorhandene Verlustvortraege bei Wagglz wertvoll</w:t>
            </w:r>
          </w:p>
        </w:tc>
      </w:tr>
      <w:tr>
        <w:tc>
          <w:tcPr>
            <w:tcW w:type="dxa" w:w="2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Anlaufkosten Cafe</w:t>
            </w:r>
          </w:p>
        </w:tc>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50.000 – 150.000 EUR typiseh</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Ausbau, Equipment, Kaution, 3-6 Monate Betrieb</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Finanzierungsbedarf</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Hoch — woher kommt das Kapital?</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Bank, Foerderprogramme (BAFA, IBB), Hai als Investor?</w:t>
            </w:r>
          </w:p>
        </w:tc>
      </w:tr>
      <w:tr>
        <w:tc>
          <w:tcPr>
            <w:tcW w:type="dxa" w:w="2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Break-even</w:t>
            </w:r>
          </w:p>
        </w:tc>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Typisch: 6-18 Monate</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Cafe-Branche: 60-70% Marge auf Getraenke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Olegs Zeitkapazitaet</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Doctolib = Hauptjob — wieviel Zeit fuer Cafe?</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Operativer Betrieb vs. strategische Rolle</w:t>
            </w:r>
          </w:p>
        </w:tc>
      </w:tr>
      <w:tr>
        <w:tc>
          <w:tcPr>
            <w:tcW w:type="dxa" w:w="24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Hais Rolle</w:t>
            </w:r>
          </w:p>
        </w:tc>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Operativer Partner, Kapitalgeber, beides?</w:t>
            </w:r>
          </w:p>
        </w:tc>
        <w:tc>
          <w:tcPr>
            <w:tcW w:type="dxa" w:w="3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Gesellschaftervertrag vorab klaeren!</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Wagglz Verlustvortraege</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Erst nutzbar wenn Cafe-Gewinne entstehen</w:t>
            </w:r>
          </w:p>
        </w:tc>
        <w:tc>
          <w:tcPr>
            <w:tcW w:type="dxa" w:w="3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39.996 EUR = ca. 40k EUR steuerfreier Gewinn</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r>
              <w:rPr>
                <w:rFonts w:ascii="Arial" w:cs="Arial" w:eastAsia="Arial" w:hAnsi="Arial"/>
                <w:b/>
                <w:bCs/>
                <w:color w:val="1C2833"/>
                <w:sz w:val="20"/>
                <w:szCs w:val="20"/>
              </w:rPr>
              <w:t xml:space="preserve">ℹ </w:t>
            </w:r>
            <w:r>
              <w:rPr>
                <w:rFonts w:ascii="Arial" w:cs="Arial" w:eastAsia="Arial" w:hAnsi="Arial"/>
                <w:color w:val="1C2833"/>
                <w:sz w:val="20"/>
                <w:szCs w:val="20"/>
              </w:rPr>
              <w:t xml:space="preserve">Empfehlung zum Cafe-Venture: Solides Konzept kann Wagglz retten UND Verlustvortraege nutzen. Aber: Ohne geklarten Kapital- und Zeitplan ist das Risiko zu hoch. Schritt 1 = Businessplan mit Hai erstellen, Finanzierungsquellen pruefen.</w:t>
            </w:r>
          </w:p>
        </w:tc>
      </w:tr>
    </w:tbl>
    <w:p>
      <w:pPr>
        <w:spacing w:after="0" w:before="120"/>
      </w:pPr>
      <w:r>
        <w:t xml:space="preserve"/>
      </w:r>
    </w:p>
    <w:p>
      <w:pPr>
        <w:pStyle w:val="Heading2"/>
        <w:spacing w:after="140" w:before="280"/>
      </w:pPr>
      <w:r>
        <w:rPr>
          <w:rFonts w:ascii="Arial" w:cs="Arial" w:eastAsia="Arial" w:hAnsi="Arial"/>
          <w:b/>
          <w:bCs/>
          <w:color w:val="1A5276"/>
          <w:sz w:val="28"/>
          <w:szCs w:val="28"/>
        </w:rPr>
        <w:t xml:space="preserve">4.4 Priorisierter Massnahmenplan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600"/>
        <w:gridCol w:w="1600"/>
        <w:gridCol w:w="1200"/>
      </w:tblGrid>
      <w:tr>
        <w:trPr>
          <w:tblHeader/>
        </w:trPr>
        <w:tc>
          <w:tcPr>
            <w:tcW w:type="dxa" w:w="1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Prioritaet</w:t>
            </w:r>
          </w:p>
        </w:tc>
        <w:tc>
          <w:tcPr>
            <w:tcW w:type="dxa" w:w="3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Massnahme</w:t>
            </w:r>
          </w:p>
        </w:tc>
        <w:tc>
          <w:tcPr>
            <w:tcW w:type="dxa" w:w="1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Frist</w:t>
            </w:r>
          </w:p>
        </w:tc>
        <w:tc>
          <w:tcPr>
            <w:tcW w:type="dxa" w:w="1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Verantwortlich</w:t>
            </w:r>
          </w:p>
        </w:tc>
        <w:tc>
          <w:tcPr>
            <w:tcW w:type="dxa" w:w="12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Wirkung</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P0 — SOFORT</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Rechtsanwalt (InsO) fuer Rangruecktritt beauftragen</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Diese Woche</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Oleg</w:t>
            </w:r>
          </w:p>
        </w:tc>
        <w:tc>
          <w:tcPr>
            <w:tcW w:type="dxa" w:w="1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Beseitigt §15a InsO Risiko</w:t>
            </w:r>
          </w:p>
        </w:tc>
      </w:tr>
      <w:tr>
        <w:tc>
          <w:tcPr>
            <w:tcW w:type="dxa" w:w="1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P0 — SOFORT</w:t>
            </w:r>
          </w:p>
        </w:tc>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Vollstaendigkeitserklaerung unterschreiben (SP STB)</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Diese Woche</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Oleg</w:t>
            </w:r>
          </w:p>
        </w:tc>
        <w:tc>
          <w:tcPr>
            <w:tcW w:type="dxa" w:w="1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Steuererklarungen koennen eingereicht werden</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P1 — 1 Monat</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Rangruecktritt formalisieren und unterzeichnen</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Bis 12.07.2026</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Oleg + Anwalt</w:t>
            </w:r>
          </w:p>
        </w:tc>
        <w:tc>
          <w:tcPr>
            <w:tcW w:type="dxa" w:w="1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Insolvenzrisiko bereinigt</w:t>
            </w:r>
          </w:p>
        </w:tc>
      </w:tr>
      <w:tr>
        <w:tc>
          <w:tcPr>
            <w:tcW w:type="dxa" w:w="1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P1 — 1 Monat</w:t>
            </w:r>
          </w:p>
        </w:tc>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Dispo Consorsbank tilgen (1.405 EUR, 9,40% p.a.)</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Aus naechstem Bonus</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Oleg</w:t>
            </w:r>
          </w:p>
        </w:tc>
        <w:tc>
          <w:tcPr>
            <w:tcW w:type="dxa" w:w="1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Spart ~132 EUR/Jahr Zinsen</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P2 — 3 Monate</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Cafe-Businessplan mit Hai erstellen</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Sep 2026</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Oleg + Hai</w:t>
            </w:r>
          </w:p>
        </w:tc>
        <w:tc>
          <w:tcPr>
            <w:tcW w:type="dxa" w:w="1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Strategische Klarheit</w:t>
            </w:r>
          </w:p>
        </w:tc>
      </w:tr>
      <w:tr>
        <w:tc>
          <w:tcPr>
            <w:tcW w:type="dxa" w:w="1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P2 — 3 Monate</w:t>
            </w:r>
          </w:p>
        </w:tc>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Wagglz Jahresabschluss 2025 vorbereiten</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Q3 2026</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SP Steuerberatung</w:t>
            </w:r>
          </w:p>
        </w:tc>
        <w:tc>
          <w:tcPr>
            <w:tcW w:type="dxa" w:w="1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Aktuelle Zahlen</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P2 — 3 Monate</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Wagglz laufende Kosten auf Minimum reduzieren</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Jul-Sep 2026</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Oleg</w:t>
            </w:r>
          </w:p>
        </w:tc>
        <w:tc>
          <w:tcPr>
            <w:tcW w:type="dxa" w:w="1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Cash-Preservation</w:t>
            </w:r>
          </w:p>
        </w:tc>
      </w:tr>
      <w:tr>
        <w:tc>
          <w:tcPr>
            <w:tcW w:type="dxa" w:w="18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P3 — 6 Monate</w:t>
            </w:r>
          </w:p>
        </w:tc>
        <w:tc>
          <w:tcPr>
            <w:tcW w:type="dxa" w:w="30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Finanzierungsquellen Cafe pruefe (Bank, BAFA, IBB)</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Dez 2026</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Oleg</w:t>
            </w:r>
          </w:p>
        </w:tc>
        <w:tc>
          <w:tcPr>
            <w:tcW w:type="dxa" w:w="1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Sichert Cafe-Start</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P3 — 6 Monate</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Restlichen 12.500 EUR Stammeinlage einzahlen</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Wenn Liquiditaet</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Oleg</w:t>
            </w:r>
          </w:p>
        </w:tc>
        <w:tc>
          <w:tcPr>
            <w:tcW w:type="dxa" w:w="1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Staerkt EK</w:t>
            </w:r>
          </w:p>
        </w:tc>
      </w:tr>
    </w:tbl>
    <w:p>
      <w:r>
        <w:br w:type="page"/>
      </w:r>
    </w:p>
    <w:p>
      <w:pPr>
        <w:pStyle w:val="Heading1"/>
        <w:spacing w:after="180" w:before="360"/>
      </w:pPr>
      <w:r>
        <w:rPr>
          <w:rFonts w:ascii="Arial" w:cs="Arial" w:eastAsia="Arial" w:hAnsi="Arial"/>
          <w:b/>
          <w:bCs/>
          <w:color w:val="154360"/>
          <w:sz w:val="36"/>
          <w:szCs w:val="36"/>
        </w:rPr>
        <w:t xml:space="preserve">Anhang: Datenbasis &amp; Quellenverzeichnis</w:t>
      </w:r>
    </w:p>
    <w:p>
      <w:pPr>
        <w:pBdr>
          <w:bottom w:val="single" w:color="154360" w:sz="6"/>
        </w:pBdr>
        <w:spacing w:after="80" w:before="80"/>
      </w:pPr>
      <w:r>
        <w:t xml:space="preserve"/>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200"/>
      </w:tblGrid>
      <w:tr>
        <w:trPr>
          <w:tblHeader/>
        </w:trPr>
        <w:tc>
          <w:tcPr>
            <w:tcW w:type="dxa" w:w="22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Quelle</w:t>
            </w:r>
          </w:p>
        </w:tc>
        <w:tc>
          <w:tcPr>
            <w:tcW w:type="dxa" w:w="32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Dokument</w:t>
            </w:r>
          </w:p>
        </w:tc>
        <w:tc>
          <w:tcPr>
            <w:tcW w:type="dxa" w:w="1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Datum</w:t>
            </w:r>
          </w:p>
        </w:tc>
        <w:tc>
          <w:tcPr>
            <w:tcW w:type="dxa" w:w="22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SP Steuerberatung</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Jahresabschluss KapGes. 2024 (846979)</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30.06.2025</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DATEV-bestaetigt</w:t>
            </w:r>
          </w:p>
        </w:tc>
      </w:tr>
      <w:tr>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SP Steuerberatung</w:t>
            </w:r>
          </w:p>
        </w:tc>
        <w:tc>
          <w:tcPr>
            <w:tcW w:type="dxa" w:w="3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E-Bilanz-Vorschau 31.12.2024 (846978)</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01.06.2026</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Eingereicht FA</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SP Steuerberatung</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KSt-Erklaerung 2024 (846981)</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01.06.2026</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Verlustvortrag 39.996 EUR</w:t>
            </w:r>
          </w:p>
        </w:tc>
      </w:tr>
      <w:tr>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SP Steuerberatung</w:t>
            </w:r>
          </w:p>
        </w:tc>
        <w:tc>
          <w:tcPr>
            <w:tcW w:type="dxa" w:w="3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GewSt-Erklaerung 2024 (846982)</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01.06.2026</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Gewerbefehlbetrag 39.996 EUR</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SP Steuerberatung</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USt-Erklaerung 2024 (846980)</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01.06.2026</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Erstattung -201,21 EUR</w:t>
            </w:r>
          </w:p>
        </w:tc>
      </w:tr>
      <w:tr>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Consorsbank</w:t>
            </w:r>
          </w:p>
        </w:tc>
        <w:tc>
          <w:tcPr>
            <w:tcW w:type="dxa" w:w="3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Kontoauszuege Jan-Mai 2026 (PDF)</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Mai 2026</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Saldo-Delta Methode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Splitwise</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the-mochi-s Export 11.06.2026 (CSV)</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11.06.2026</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1.494 Buchungen analysiert</w:t>
            </w:r>
          </w:p>
        </w:tc>
      </w:tr>
      <w:tr>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VW Bank</w:t>
            </w:r>
          </w:p>
        </w:tc>
        <w:tc>
          <w:tcPr>
            <w:tcW w:type="dxa" w:w="3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Kreditinformation (Direktangabe Oleg)</w:t>
            </w:r>
          </w:p>
        </w:tc>
        <w:tc>
          <w:tcPr>
            <w:tcW w:type="dxa" w:w="16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Jun 2026</w:t>
            </w:r>
          </w:p>
        </w:tc>
        <w:tc>
          <w:tcPr>
            <w:tcW w:type="dxa" w:w="2200"/>
            <w:tcBorders>
              <w:top w:val="single" w:color="DDDDDD" w:sz="4"/>
              <w:left w:val="single" w:color="DDDDDD" w:sz="4"/>
              <w:bottom w:val="single" w:color="DDDDDD" w:sz="4"/>
              <w:right w:val="single" w:color="DDDDDD" w:sz="4"/>
            </w:tcBorders>
            <w:shd w:fill="F8F9FA" w:val="clear"/>
            <w:tcMar>
              <w:top w:type="dxa" w:w="60"/>
              <w:left w:type="dxa" w:w="100"/>
              <w:bottom w:type="dxa" w:w="60"/>
              <w:right w:type="dxa" w:w="100"/>
            </w:tcMar>
          </w:tcPr>
          <w:p>
            <w:r>
              <w:rPr>
                <w:rFonts w:ascii="Arial" w:cs="Arial" w:eastAsia="Arial" w:hAnsi="Arial"/>
                <w:color w:val="1C2833"/>
                <w:sz w:val="19"/>
                <w:szCs w:val="19"/>
              </w:rPr>
              <w:t xml:space="preserve">18.858 EUR / 29 Monate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Registergericht Cottbus</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HRB 18003 — Wagglz GmbH</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lfd.</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Gegruendet 30.04.2024</w:t>
            </w:r>
          </w:p>
        </w:tc>
      </w:tr>
    </w:tbl>
    <w:p>
      <w:pPr>
        <w:spacing w:after="0" w:before="120"/>
      </w:pPr>
      <w:r>
        <w:t xml:space="preserve"/>
      </w:r>
    </w:p>
    <w:p>
      <w:pPr>
        <w:pStyle w:val="Heading2"/>
        <w:spacing w:after="140" w:before="280"/>
      </w:pPr>
      <w:r>
        <w:rPr>
          <w:rFonts w:ascii="Arial" w:cs="Arial" w:eastAsia="Arial" w:hAnsi="Arial"/>
          <w:b/>
          <w:bCs/>
          <w:color w:val="1A5276"/>
          <w:sz w:val="28"/>
          <w:szCs w:val="28"/>
        </w:rPr>
        <w:t xml:space="preserve">Wichtige Hinweise</w:t>
      </w:r>
    </w:p>
    <w:p>
      <w:pPr>
        <w:spacing w:after="120" w:before="120"/>
        <w:jc w:val="left"/>
      </w:pPr>
      <w:r>
        <w:rPr>
          <w:rFonts w:ascii="Arial" w:cs="Arial" w:eastAsia="Arial" w:hAnsi="Arial"/>
          <w:b w:val="false"/>
          <w:bCs w:val="false"/>
          <w:i w:val="false"/>
          <w:iCs w:val="false"/>
          <w:color w:val="7F8C8D"/>
          <w:sz w:val="19"/>
          <w:szCs w:val="19"/>
        </w:rPr>
        <w:t xml:space="preserve">1. Diese Analyse ist keine Rechtsberatung und ersetzt nicht die Beratung durch einen zugelassenen Rechtsanwalt oder Insolvenzverwalter.</w:t>
      </w:r>
    </w:p>
    <w:p>
      <w:pPr>
        <w:spacing w:after="120" w:before="120"/>
        <w:jc w:val="left"/>
      </w:pPr>
      <w:r>
        <w:rPr>
          <w:rFonts w:ascii="Arial" w:cs="Arial" w:eastAsia="Arial" w:hAnsi="Arial"/>
          <w:b w:val="false"/>
          <w:bCs w:val="false"/>
          <w:i w:val="false"/>
          <w:iCs w:val="false"/>
          <w:color w:val="7F8C8D"/>
          <w:sz w:val="19"/>
          <w:szCs w:val="19"/>
        </w:rPr>
        <w:t xml:space="preserve">2. Die steuerlichen Aussagen sind auf Basis der vorliegenden DATEV-Unterlagen erstellt. Verbindliche Auskunft erteilt nur der Steuerberater.</w:t>
      </w:r>
    </w:p>
    <w:p>
      <w:pPr>
        <w:spacing w:after="120" w:before="120"/>
        <w:jc w:val="left"/>
      </w:pPr>
      <w:r>
        <w:rPr>
          <w:rFonts w:ascii="Arial" w:cs="Arial" w:eastAsia="Arial" w:hAnsi="Arial"/>
          <w:b w:val="false"/>
          <w:bCs w:val="false"/>
          <w:i w:val="false"/>
          <w:iCs w:val="false"/>
          <w:color w:val="7F8C8D"/>
          <w:sz w:val="19"/>
          <w:szCs w:val="19"/>
        </w:rPr>
        <w:t xml:space="preserve">3. Angaben zu zukuenftigen Erloesen (Cafe, Doctolib-Boni) sind Prognosen und nicht garantiert.</w:t>
      </w:r>
    </w:p>
    <w:p>
      <w:pPr>
        <w:spacing w:after="120" w:before="120"/>
        <w:jc w:val="left"/>
      </w:pPr>
      <w:r>
        <w:rPr>
          <w:rFonts w:ascii="Arial" w:cs="Arial" w:eastAsia="Arial" w:hAnsi="Arial"/>
          <w:b w:val="false"/>
          <w:bCs w:val="false"/>
          <w:i w:val="false"/>
          <w:iCs w:val="false"/>
          <w:color w:val="7F8C8D"/>
          <w:sz w:val="19"/>
          <w:szCs w:val="19"/>
        </w:rPr>
        <w:t xml:space="preserve">4. Stand der Analyse: 12. Juni 2026. Neuere Entwicklungen sind nicht eingearbeitet.</w:t>
      </w:r>
    </w:p>
    <w:p>
      <w:pPr>
        <w:spacing w:after="0" w:before="240"/>
      </w:pPr>
      <w:r>
        <w:t xml:space="preserve"/>
      </w:r>
    </w:p>
    <w:p>
      <w:pPr>
        <w:spacing w:after="120" w:before="120"/>
        <w:jc w:val="left"/>
      </w:pPr>
      <w:r>
        <w:rPr>
          <w:rFonts w:ascii="Arial" w:cs="Arial" w:eastAsia="Arial" w:hAnsi="Arial"/>
          <w:b w:val="false"/>
          <w:bCs w:val="false"/>
          <w:i/>
          <w:iCs/>
          <w:color w:val="7F8C8D"/>
          <w:sz w:val="18"/>
          <w:szCs w:val="18"/>
        </w:rPr>
        <w:t xml:space="preserve">Erstellt mit Claude (Anthropic) auf Basis der bereitgestellten Finanzdokumente.</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4360" w:sz="4"/>
      </w:pBdr>
      <w:jc w:val="right"/>
    </w:pPr>
    <w:r>
      <w:rPr>
        <w:rFonts w:ascii="Arial" w:cs="Arial" w:eastAsia="Arial" w:hAnsi="Arial"/>
        <w:color w:val="7F8C8D"/>
        <w:sz w:val="18"/>
        <w:szCs w:val="18"/>
      </w:rPr>
      <w:t xml:space="preserve">Seite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von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4360" w:sz="4"/>
      </w:pBdr>
    </w:pPr>
    <w:r>
      <w:rPr>
        <w:rFonts w:ascii="Arial" w:cs="Arial" w:eastAsia="Arial" w:hAnsi="Arial"/>
        <w:color w:val="7F8C8D"/>
        <w:sz w:val="18"/>
        <w:szCs w:val="18"/>
      </w:rPr>
      <w:t xml:space="preserve">Finanzanalyse Oleg Kober — Vertraulich</w:t>
    </w:r>
    <w:r>
      <w:rPr>
        <w:rFonts w:ascii="Arial" w:cs="Arial" w:eastAsia="Arial" w:hAnsi="Arial"/>
        <w:color w:val="7F8C8D"/>
        <w:sz w:val="18"/>
        <w:szCs w:val="18"/>
      </w:rPr>
      <w:t xml:space="preserve">   |   Erstellt: 12.06.2026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00"/>
      </w:pPr>
    </w:lvl>
    <w:lvl w:ilvl="1" w15:tentative="1">
      <w:start w:val="1"/>
      <w:numFmt w:val="bullet"/>
      <w:lvlText w:val="◦"/>
      <w:lvlJc w:val="start"/>
      <w:pPr>
        <w:ind w:left="900" w:hanging="300"/>
      </w:pPr>
    </w:lvl>
  </w:abstractNum>
  <w:abstractNum w:abstractNumId="3" w15:restartNumberingAfterBreak="0">
    <w:multiLevelType w:val="hybridMultilevel"/>
    <w:lvl w:ilvl="0" w15:tentative="1">
      <w:start w:val="1"/>
      <w:numFmt w:val="decimal"/>
      <w:lvlText w:val="%1."/>
      <w:lvlJc w:val="star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2026-06-12T10:09:52.272Z</dcterms:created>
  <dcterms:modified xsi:type="dcterms:W3CDTF">2026-06-12T10:09:52.272Z</dcterms:modified>
</cp:coreProperties>
</file>

<file path=docProps/custom.xml><?xml version="1.0" encoding="utf-8"?>
<Properties xmlns="http://schemas.openxmlformats.org/officeDocument/2006/custom-properties" xmlns:vt="http://schemas.openxmlformats.org/officeDocument/2006/docPropsVTypes"/>
</file>