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5E" w:rsidRPr="00017EA4" w:rsidRDefault="0045715E" w:rsidP="0045715E">
      <w:pPr>
        <w:jc w:val="center"/>
        <w:rPr>
          <w:b/>
          <w:bCs/>
        </w:rPr>
      </w:pPr>
      <w:r w:rsidRPr="00017EA4">
        <w:rPr>
          <w:b/>
          <w:bCs/>
        </w:rPr>
        <w:t xml:space="preserve">Тестовый перевод </w:t>
      </w:r>
    </w:p>
    <w:p w:rsidR="0045715E" w:rsidRPr="001B2F6B" w:rsidRDefault="0045715E" w:rsidP="0045715E">
      <w:pPr>
        <w:jc w:val="center"/>
        <w:rPr>
          <w:b/>
          <w:u w:val="single"/>
        </w:rPr>
      </w:pPr>
      <w:r w:rsidRPr="00017EA4">
        <w:rPr>
          <w:b/>
          <w:bCs/>
        </w:rPr>
        <w:t xml:space="preserve">(английский язык, </w:t>
      </w:r>
      <w:r>
        <w:rPr>
          <w:b/>
          <w:bCs/>
        </w:rPr>
        <w:t>тематика: искусство/культура</w:t>
      </w:r>
      <w:r w:rsidRPr="00017EA4">
        <w:rPr>
          <w:b/>
          <w:bCs/>
        </w:rPr>
        <w:t>)</w:t>
      </w:r>
    </w:p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4751"/>
        <w:gridCol w:w="4666"/>
      </w:tblGrid>
      <w:tr w:rsidR="0045715E" w:rsidRPr="00017EA4" w:rsidTr="00922606"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15E" w:rsidRPr="00EE68E2" w:rsidRDefault="0045715E" w:rsidP="005F79B6">
            <w:pPr>
              <w:shd w:val="clear" w:color="auto" w:fill="FFFFFF"/>
              <w:jc w:val="both"/>
              <w:rPr>
                <w:b/>
                <w:lang w:val="en-US"/>
              </w:rPr>
            </w:pPr>
            <w:r w:rsidRPr="00EE68E2">
              <w:rPr>
                <w:b/>
                <w:lang w:val="en-US"/>
              </w:rPr>
              <w:t>ФИО переводчика: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15E" w:rsidRPr="003F199C" w:rsidRDefault="003F199C" w:rsidP="005F79B6">
            <w:pPr>
              <w:jc w:val="both"/>
              <w:rPr>
                <w:b/>
              </w:rPr>
            </w:pPr>
            <w:r>
              <w:rPr>
                <w:b/>
              </w:rPr>
              <w:t xml:space="preserve">Корнилов О.Ю </w:t>
            </w:r>
            <w:hyperlink r:id="rId4" w:history="1">
              <w:r w:rsidRPr="007C3369">
                <w:rPr>
                  <w:rStyle w:val="a4"/>
                  <w:b/>
                  <w:lang w:val="en-US"/>
                </w:rPr>
                <w:t>kornilovoy</w:t>
              </w:r>
              <w:r w:rsidRPr="003F199C">
                <w:rPr>
                  <w:rStyle w:val="a4"/>
                  <w:b/>
                </w:rPr>
                <w:t>@</w:t>
              </w:r>
              <w:r w:rsidRPr="007C3369">
                <w:rPr>
                  <w:rStyle w:val="a4"/>
                  <w:b/>
                  <w:lang w:val="en-US"/>
                </w:rPr>
                <w:t>gmail</w:t>
              </w:r>
              <w:r w:rsidRPr="003F199C">
                <w:rPr>
                  <w:rStyle w:val="a4"/>
                  <w:b/>
                </w:rPr>
                <w:t>.</w:t>
              </w:r>
              <w:r w:rsidRPr="007C3369">
                <w:rPr>
                  <w:rStyle w:val="a4"/>
                  <w:b/>
                  <w:lang w:val="en-US"/>
                </w:rPr>
                <w:t>com</w:t>
              </w:r>
            </w:hyperlink>
          </w:p>
        </w:tc>
      </w:tr>
      <w:tr w:rsidR="0045715E" w:rsidRPr="00017EA4" w:rsidTr="00922606"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15E" w:rsidRPr="00EE68E2" w:rsidRDefault="0045715E" w:rsidP="005F79B6">
            <w:pPr>
              <w:shd w:val="clear" w:color="auto" w:fill="FFFFFF"/>
              <w:jc w:val="both"/>
              <w:rPr>
                <w:b/>
                <w:lang w:val="en-US"/>
              </w:rPr>
            </w:pPr>
            <w:r w:rsidRPr="00EE68E2">
              <w:rPr>
                <w:b/>
                <w:lang w:val="en-US"/>
              </w:rPr>
              <w:t>Дата выполнения: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15E" w:rsidRPr="003F199C" w:rsidRDefault="003F199C" w:rsidP="005F79B6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31/10/2024</w:t>
            </w:r>
          </w:p>
        </w:tc>
      </w:tr>
      <w:tr w:rsidR="0045715E" w:rsidRPr="00017EA4" w:rsidTr="00922606">
        <w:tc>
          <w:tcPr>
            <w:tcW w:w="47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5715E" w:rsidRPr="00EE68E2" w:rsidRDefault="0045715E" w:rsidP="005F79B6">
            <w:pPr>
              <w:shd w:val="clear" w:color="auto" w:fill="FFFFFF"/>
              <w:jc w:val="both"/>
              <w:rPr>
                <w:b/>
                <w:lang w:val="en-US"/>
              </w:rPr>
            </w:pPr>
          </w:p>
        </w:tc>
        <w:tc>
          <w:tcPr>
            <w:tcW w:w="46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5715E" w:rsidRPr="00EE68E2" w:rsidRDefault="0045715E" w:rsidP="005F79B6">
            <w:pPr>
              <w:jc w:val="both"/>
              <w:rPr>
                <w:b/>
              </w:rPr>
            </w:pPr>
          </w:p>
        </w:tc>
      </w:tr>
      <w:tr w:rsidR="0045715E" w:rsidRPr="00017EA4" w:rsidTr="00922606"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15E" w:rsidRPr="00EE68E2" w:rsidRDefault="0045715E" w:rsidP="005F79B6">
            <w:pPr>
              <w:shd w:val="clear" w:color="auto" w:fill="FFFFFF"/>
              <w:jc w:val="center"/>
              <w:rPr>
                <w:b/>
                <w:lang w:val="en-US"/>
              </w:rPr>
            </w:pPr>
            <w:r w:rsidRPr="00EE68E2">
              <w:rPr>
                <w:b/>
                <w:lang w:val="en-US"/>
              </w:rPr>
              <w:t>Задание на перевод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15E" w:rsidRPr="00EE68E2" w:rsidRDefault="0045715E" w:rsidP="005F79B6">
            <w:pPr>
              <w:jc w:val="center"/>
              <w:rPr>
                <w:b/>
              </w:rPr>
            </w:pPr>
            <w:r w:rsidRPr="00EE68E2">
              <w:rPr>
                <w:b/>
              </w:rPr>
              <w:t>Перевод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3FC0" w:rsidRPr="003F199C" w:rsidTr="00A13FC0">
        <w:tc>
          <w:tcPr>
            <w:tcW w:w="4672" w:type="dxa"/>
          </w:tcPr>
          <w:p w:rsidR="00A13FC0" w:rsidRPr="00740ECD" w:rsidRDefault="00A13FC0" w:rsidP="00A13FC0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40ECD">
              <w:rPr>
                <w:rFonts w:ascii="Times New Roman" w:hAnsi="Times New Roman"/>
                <w:bCs/>
                <w:sz w:val="28"/>
                <w:szCs w:val="28"/>
              </w:rPr>
              <w:t>Женское платье "андриенн"</w:t>
            </w:r>
          </w:p>
          <w:p w:rsidR="00A13FC0" w:rsidRPr="00740ECD" w:rsidRDefault="00A13FC0" w:rsidP="00A13FC0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40ECD">
              <w:rPr>
                <w:rFonts w:ascii="Times New Roman" w:hAnsi="Times New Roman"/>
                <w:bCs/>
                <w:sz w:val="28"/>
                <w:szCs w:val="28"/>
              </w:rPr>
              <w:t>17</w:t>
            </w:r>
            <w:r w:rsidR="00593431">
              <w:rPr>
                <w:rFonts w:ascii="Times New Roman" w:hAnsi="Times New Roman"/>
                <w:bCs/>
                <w:sz w:val="28"/>
                <w:szCs w:val="28"/>
              </w:rPr>
              <w:t>50</w:t>
            </w:r>
            <w:r w:rsidRPr="00740ECD">
              <w:rPr>
                <w:rFonts w:ascii="Times New Roman" w:hAnsi="Times New Roman"/>
                <w:bCs/>
                <w:sz w:val="28"/>
                <w:szCs w:val="28"/>
              </w:rPr>
              <w:t>–17</w:t>
            </w:r>
            <w:r w:rsidR="00593431">
              <w:rPr>
                <w:rFonts w:ascii="Times New Roman" w:hAnsi="Times New Roman"/>
                <w:bCs/>
                <w:sz w:val="28"/>
                <w:szCs w:val="28"/>
              </w:rPr>
              <w:t>70</w:t>
            </w:r>
            <w:r w:rsidRPr="00740ECD">
              <w:rPr>
                <w:rFonts w:ascii="Times New Roman" w:hAnsi="Times New Roman"/>
                <w:bCs/>
                <w:sz w:val="28"/>
                <w:szCs w:val="28"/>
              </w:rPr>
              <w:t xml:space="preserve">-е </w:t>
            </w:r>
          </w:p>
          <w:p w:rsidR="00A13FC0" w:rsidRPr="00740ECD" w:rsidRDefault="00A13FC0" w:rsidP="00A13FC0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40ECD">
              <w:rPr>
                <w:rFonts w:ascii="Times New Roman" w:hAnsi="Times New Roman"/>
                <w:bCs/>
                <w:sz w:val="28"/>
                <w:szCs w:val="28"/>
              </w:rPr>
              <w:t xml:space="preserve">Шёлк, парча, металл, </w:t>
            </w:r>
            <w:r w:rsidR="00593431">
              <w:rPr>
                <w:rFonts w:ascii="Times New Roman" w:hAnsi="Times New Roman"/>
                <w:bCs/>
                <w:sz w:val="28"/>
                <w:szCs w:val="28"/>
              </w:rPr>
              <w:t>вышивка</w:t>
            </w:r>
          </w:p>
          <w:p w:rsidR="00A13FC0" w:rsidRDefault="00A13FC0" w:rsidP="00A13FC0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A13FC0" w:rsidRPr="0045715E" w:rsidRDefault="00A13FC0" w:rsidP="0045715E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Мода на п</w:t>
            </w:r>
            <w:r w:rsidRPr="00740ECD">
              <w:rPr>
                <w:rFonts w:ascii="Times New Roman" w:hAnsi="Times New Roman"/>
                <w:bCs/>
                <w:sz w:val="28"/>
                <w:szCs w:val="28"/>
              </w:rPr>
              <w:t xml:space="preserve">латья фасона "андриенн"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зародилась</w:t>
            </w:r>
            <w:r w:rsidRPr="00740ECD">
              <w:rPr>
                <w:rFonts w:ascii="Times New Roman" w:hAnsi="Times New Roman"/>
                <w:bCs/>
                <w:sz w:val="28"/>
                <w:szCs w:val="28"/>
              </w:rPr>
              <w:t xml:space="preserve"> во времена правления французского короля Людовика XV и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продолжалась</w:t>
            </w:r>
            <w:r w:rsidRPr="00740ECD">
              <w:rPr>
                <w:rFonts w:ascii="Times New Roman" w:hAnsi="Times New Roman"/>
                <w:bCs/>
                <w:sz w:val="28"/>
                <w:szCs w:val="28"/>
              </w:rPr>
              <w:t xml:space="preserve"> на протяжении всего XVIII столетия. Первой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подобное</w:t>
            </w:r>
            <w:r w:rsidRPr="00740ECD">
              <w:rPr>
                <w:rFonts w:ascii="Times New Roman" w:hAnsi="Times New Roman"/>
                <w:bCs/>
                <w:sz w:val="28"/>
                <w:szCs w:val="28"/>
              </w:rPr>
              <w:t xml:space="preserve"> платье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стала носить</w:t>
            </w:r>
            <w:r w:rsidRPr="00740ECD">
              <w:rPr>
                <w:rFonts w:ascii="Times New Roman" w:hAnsi="Times New Roman"/>
                <w:bCs/>
                <w:sz w:val="28"/>
                <w:szCs w:val="28"/>
              </w:rPr>
              <w:t xml:space="preserve"> актриса Мари Картон,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игравшая</w:t>
            </w:r>
            <w:r w:rsidRPr="00740ECD">
              <w:rPr>
                <w:rFonts w:ascii="Times New Roman" w:hAnsi="Times New Roman"/>
                <w:bCs/>
                <w:sz w:val="28"/>
                <w:szCs w:val="28"/>
              </w:rPr>
              <w:t xml:space="preserve"> главную роль в комедии «Андриенн» по пьесе древнеримского драматурга Теренция «Девушка с Андроса». </w:t>
            </w:r>
          </w:p>
        </w:tc>
        <w:tc>
          <w:tcPr>
            <w:tcW w:w="4673" w:type="dxa"/>
          </w:tcPr>
          <w:p w:rsidR="00A13FC0" w:rsidRDefault="003F199C">
            <w:pPr>
              <w:rPr>
                <w:lang w:val="en-US"/>
              </w:rPr>
            </w:pPr>
            <w:r>
              <w:rPr>
                <w:lang w:val="en-US"/>
              </w:rPr>
              <w:t>A female dress “Adrienne”</w:t>
            </w:r>
          </w:p>
          <w:p w:rsidR="003F199C" w:rsidRDefault="003F199C">
            <w:pPr>
              <w:rPr>
                <w:lang w:val="en-US"/>
              </w:rPr>
            </w:pPr>
          </w:p>
          <w:p w:rsidR="003F199C" w:rsidRDefault="003F199C">
            <w:pPr>
              <w:rPr>
                <w:lang w:val="en-US"/>
              </w:rPr>
            </w:pPr>
            <w:r>
              <w:rPr>
                <w:lang w:val="en-US"/>
              </w:rPr>
              <w:t>1750-1770s</w:t>
            </w:r>
          </w:p>
          <w:p w:rsidR="003F199C" w:rsidRDefault="003F199C" w:rsidP="003F199C">
            <w:pPr>
              <w:rPr>
                <w:rStyle w:val="rynqvb"/>
                <w:lang w:val="en"/>
              </w:rPr>
            </w:pPr>
            <w:r>
              <w:rPr>
                <w:rStyle w:val="rynqvb"/>
                <w:lang w:val="en"/>
              </w:rPr>
              <w:t xml:space="preserve">Silk, brocade, metal, embroidery </w:t>
            </w:r>
          </w:p>
          <w:p w:rsidR="003F199C" w:rsidRDefault="003F199C" w:rsidP="003F199C">
            <w:pPr>
              <w:rPr>
                <w:rStyle w:val="rynqvb"/>
                <w:lang w:val="en"/>
              </w:rPr>
            </w:pPr>
          </w:p>
          <w:p w:rsidR="003F199C" w:rsidRPr="003F199C" w:rsidRDefault="003F199C" w:rsidP="003F199C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 xml:space="preserve">The dresses </w:t>
            </w:r>
            <w:r>
              <w:rPr>
                <w:rStyle w:val="rynqvb"/>
                <w:lang w:val="en"/>
              </w:rPr>
              <w:t xml:space="preserve">of </w:t>
            </w:r>
            <w:r>
              <w:rPr>
                <w:rStyle w:val="rynqvb"/>
                <w:lang w:val="en"/>
              </w:rPr>
              <w:t xml:space="preserve">the "Andrienne" </w:t>
            </w:r>
            <w:r>
              <w:rPr>
                <w:rStyle w:val="rynqvb"/>
                <w:lang w:val="en"/>
              </w:rPr>
              <w:t xml:space="preserve">facon became fashionable </w:t>
            </w:r>
            <w:r>
              <w:rPr>
                <w:rStyle w:val="rynqvb"/>
                <w:lang w:val="en"/>
              </w:rPr>
              <w:t>during the reign of the Fr</w:t>
            </w:r>
            <w:r>
              <w:rPr>
                <w:rStyle w:val="rynqvb"/>
                <w:lang w:val="en"/>
              </w:rPr>
              <w:t>ench king Louis XV and were thus</w:t>
            </w:r>
            <w:r>
              <w:rPr>
                <w:rStyle w:val="rynqvb"/>
                <w:lang w:val="en"/>
              </w:rPr>
              <w:t xml:space="preserve"> throughout the 18th century.</w:t>
            </w:r>
            <w:r>
              <w:rPr>
                <w:rStyle w:val="hwtze"/>
                <w:lang w:val="en"/>
              </w:rPr>
              <w:t xml:space="preserve"> </w:t>
            </w:r>
            <w:r>
              <w:rPr>
                <w:rStyle w:val="rynqvb"/>
                <w:lang w:val="en"/>
              </w:rPr>
              <w:t xml:space="preserve">The first dress </w:t>
            </w:r>
            <w:r>
              <w:rPr>
                <w:rStyle w:val="rynqvb"/>
                <w:lang w:val="en"/>
              </w:rPr>
              <w:t xml:space="preserve">of this facon </w:t>
            </w:r>
            <w:r>
              <w:rPr>
                <w:rStyle w:val="rynqvb"/>
                <w:lang w:val="en"/>
              </w:rPr>
              <w:t xml:space="preserve">was worn by the </w:t>
            </w:r>
            <w:proofErr w:type="gramStart"/>
            <w:r>
              <w:rPr>
                <w:rStyle w:val="rynqvb"/>
                <w:lang w:val="en"/>
              </w:rPr>
              <w:t>actress</w:t>
            </w:r>
            <w:proofErr w:type="gramEnd"/>
            <w:r>
              <w:rPr>
                <w:rStyle w:val="rynqvb"/>
                <w:lang w:val="en"/>
              </w:rPr>
              <w:t xml:space="preserve"> Marie Carton, who played the main role in the comedy "Andrienne" based on the play by the a</w:t>
            </w:r>
            <w:r>
              <w:rPr>
                <w:rStyle w:val="rynqvb"/>
                <w:lang w:val="en"/>
              </w:rPr>
              <w:t>ncient Roman playwright Terentius</w:t>
            </w:r>
            <w:r>
              <w:rPr>
                <w:rStyle w:val="rynqvb"/>
                <w:lang w:val="en"/>
              </w:rPr>
              <w:t xml:space="preserve"> "The Girl from Andros".</w:t>
            </w:r>
          </w:p>
        </w:tc>
      </w:tr>
      <w:tr w:rsidR="00A13FC0" w:rsidRPr="003F199C" w:rsidTr="00A13FC0">
        <w:tc>
          <w:tcPr>
            <w:tcW w:w="4672" w:type="dxa"/>
          </w:tcPr>
          <w:p w:rsidR="00E06FF5" w:rsidRDefault="00E06FF5" w:rsidP="00E06FF5">
            <w:pPr>
              <w:shd w:val="clear" w:color="auto" w:fill="FFFFFF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Свой современный вид 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>дворец приобр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е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 xml:space="preserve">л после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окончания 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>войны 1812 года</w:t>
            </w:r>
            <w:r w:rsidR="00077EBE">
              <w:rPr>
                <w:rFonts w:eastAsiaTheme="minorHAnsi"/>
                <w:sz w:val="28"/>
                <w:szCs w:val="28"/>
                <w:lang w:eastAsia="en-US"/>
              </w:rPr>
              <w:t>. Тогда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 xml:space="preserve"> участ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ок перешел во владение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 xml:space="preserve"> семь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и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 xml:space="preserve"> Волковых: полковник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а</w:t>
            </w:r>
            <w:r w:rsidR="006202C6" w:rsidRPr="003F199C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6202C6">
              <w:rPr>
                <w:rFonts w:eastAsiaTheme="minorHAnsi"/>
                <w:sz w:val="28"/>
                <w:szCs w:val="28"/>
                <w:lang w:eastAsia="en-US"/>
              </w:rPr>
              <w:t>гвардии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и 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>фрейлин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ы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 xml:space="preserve"> императрицы Марии Ф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е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 xml:space="preserve">доровны. </w:t>
            </w:r>
          </w:p>
          <w:p w:rsidR="006202C6" w:rsidRPr="00316AFF" w:rsidRDefault="00E06FF5" w:rsidP="00593431">
            <w:pPr>
              <w:rPr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П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>ожар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1812 года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не нанес </w:t>
            </w:r>
            <w:r w:rsidR="00077EBE">
              <w:rPr>
                <w:rFonts w:eastAsiaTheme="minorHAnsi"/>
                <w:sz w:val="28"/>
                <w:szCs w:val="28"/>
                <w:lang w:eastAsia="en-US"/>
              </w:rPr>
              <w:t xml:space="preserve">зданию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серьезного ущерба</w:t>
            </w:r>
            <w:r w:rsidRPr="0086337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593431">
              <w:rPr>
                <w:sz w:val="28"/>
                <w:szCs w:val="28"/>
              </w:rPr>
              <w:t>Позже а</w:t>
            </w:r>
            <w:r>
              <w:rPr>
                <w:sz w:val="28"/>
                <w:szCs w:val="28"/>
              </w:rPr>
              <w:t>рхитектор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придал ему черты ампира: 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>появились портик с колоннадой и лоджия</w:t>
            </w:r>
            <w:r w:rsidR="00077EBE" w:rsidRPr="003F199C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077EBE">
              <w:rPr>
                <w:rFonts w:eastAsiaTheme="minorHAnsi"/>
                <w:sz w:val="28"/>
                <w:szCs w:val="28"/>
                <w:lang w:val="en-US" w:eastAsia="en-US"/>
              </w:rPr>
              <w:t>c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 xml:space="preserve"> барельефами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по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 xml:space="preserve"> античны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м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 xml:space="preserve"> сюжет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ам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>. А на части, выходящей в </w:t>
            </w:r>
            <w:r w:rsidR="000E7607" w:rsidRPr="000E7607">
              <w:rPr>
                <w:rFonts w:eastAsiaTheme="minorHAnsi"/>
                <w:sz w:val="28"/>
                <w:szCs w:val="28"/>
                <w:lang w:eastAsia="en-US"/>
              </w:rPr>
              <w:t xml:space="preserve">Ананьевский 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 xml:space="preserve">переулок,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изо</w:t>
            </w:r>
            <w:r w:rsidRPr="00863372">
              <w:rPr>
                <w:rFonts w:eastAsiaTheme="minorHAnsi"/>
                <w:sz w:val="28"/>
                <w:szCs w:val="28"/>
                <w:lang w:eastAsia="en-US"/>
              </w:rPr>
              <w:t>бражена тема «Трёх граций», одной из ранних картин Рафаэля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  <w:r w:rsidR="006202C6" w:rsidRPr="003F199C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AA2912">
              <w:rPr>
                <w:rFonts w:eastAsiaTheme="minorHAnsi"/>
                <w:sz w:val="28"/>
                <w:szCs w:val="28"/>
                <w:lang w:eastAsia="en-US"/>
              </w:rPr>
              <w:t xml:space="preserve">Важнейшими элементами </w:t>
            </w:r>
            <w:r w:rsidR="00AA2912" w:rsidRPr="00863372">
              <w:rPr>
                <w:rFonts w:eastAsiaTheme="minorHAnsi"/>
                <w:sz w:val="28"/>
                <w:szCs w:val="28"/>
                <w:lang w:eastAsia="en-US"/>
              </w:rPr>
              <w:t>интерьера</w:t>
            </w:r>
            <w:r w:rsidR="00AA2912" w:rsidRPr="00AA2912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="00AA2912">
              <w:rPr>
                <w:rFonts w:eastAsiaTheme="minorHAnsi"/>
                <w:sz w:val="28"/>
                <w:szCs w:val="28"/>
                <w:lang w:eastAsia="en-US"/>
              </w:rPr>
              <w:t>стали в</w:t>
            </w:r>
            <w:r w:rsidR="00AA2912" w:rsidRPr="00AA2912">
              <w:rPr>
                <w:rFonts w:eastAsiaTheme="minorHAnsi"/>
                <w:sz w:val="28"/>
                <w:szCs w:val="28"/>
                <w:lang w:val="en-US" w:eastAsia="en-US"/>
              </w:rPr>
              <w:t xml:space="preserve">интовые </w:t>
            </w:r>
            <w:r w:rsidR="006202C6" w:rsidRPr="00863372">
              <w:rPr>
                <w:rFonts w:eastAsiaTheme="minorHAnsi"/>
                <w:sz w:val="28"/>
                <w:szCs w:val="28"/>
                <w:lang w:eastAsia="en-US"/>
              </w:rPr>
              <w:t>лестницы и лепн</w:t>
            </w:r>
            <w:r w:rsidR="00AA2912">
              <w:rPr>
                <w:rFonts w:eastAsiaTheme="minorHAnsi"/>
                <w:sz w:val="28"/>
                <w:szCs w:val="28"/>
                <w:lang w:eastAsia="en-US"/>
              </w:rPr>
              <w:t>ина</w:t>
            </w:r>
            <w:r w:rsidR="006202C6" w:rsidRPr="00863372"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4673" w:type="dxa"/>
          </w:tcPr>
          <w:p w:rsidR="00A13FC0" w:rsidRDefault="003F199C" w:rsidP="002931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palace gained its contemporary </w:t>
            </w:r>
            <w:r w:rsidR="002931B8">
              <w:rPr>
                <w:lang w:val="en-US"/>
              </w:rPr>
              <w:t>look after the war of 1812 ended, when this</w:t>
            </w:r>
            <w:r>
              <w:rPr>
                <w:lang w:val="en-US"/>
              </w:rPr>
              <w:t xml:space="preserve"> property came into possession of the Volkovs: the Guard Colone</w:t>
            </w:r>
            <w:r w:rsidR="00BA00FC">
              <w:rPr>
                <w:lang w:val="en-US"/>
              </w:rPr>
              <w:t>l</w:t>
            </w:r>
            <w:r>
              <w:rPr>
                <w:lang w:val="en-US"/>
              </w:rPr>
              <w:t xml:space="preserve"> and </w:t>
            </w:r>
            <w:r w:rsidR="00BA00FC">
              <w:rPr>
                <w:lang w:val="en-US"/>
              </w:rPr>
              <w:t>his wife, the maid of honor of the Empress Maria Fedorovna.</w:t>
            </w:r>
          </w:p>
          <w:p w:rsidR="00316AFF" w:rsidRDefault="00316AFF" w:rsidP="002931B8">
            <w:pPr>
              <w:rPr>
                <w:lang w:val="en-US"/>
              </w:rPr>
            </w:pPr>
          </w:p>
          <w:p w:rsidR="00316AFF" w:rsidRDefault="00316AFF" w:rsidP="002931B8">
            <w:pPr>
              <w:rPr>
                <w:lang w:val="en-US"/>
              </w:rPr>
            </w:pPr>
          </w:p>
          <w:p w:rsidR="00FB36EB" w:rsidRPr="00FB36EB" w:rsidRDefault="00316AFF" w:rsidP="00FB36EB">
            <w:pPr>
              <w:rPr>
                <w:rStyle w:val="hwtze"/>
                <w:lang w:val="en"/>
              </w:rPr>
            </w:pPr>
            <w:r>
              <w:rPr>
                <w:lang w:val="en-US"/>
              </w:rPr>
              <w:lastRenderedPageBreak/>
              <w:t xml:space="preserve">The 1812 fire </w:t>
            </w:r>
            <w:r w:rsidR="00FB36EB">
              <w:rPr>
                <w:lang w:val="en-US"/>
              </w:rPr>
              <w:t>did not</w:t>
            </w:r>
            <w:r>
              <w:rPr>
                <w:lang w:val="en-US"/>
              </w:rPr>
              <w:t xml:space="preserve"> damage the building a lot. Later, an architect “empirized”</w:t>
            </w:r>
            <w:r w:rsidR="00FB36EB">
              <w:rPr>
                <w:lang w:val="en-US"/>
              </w:rPr>
              <w:t xml:space="preserve"> the building</w:t>
            </w:r>
            <w:r w:rsidR="00FB36EB">
              <w:rPr>
                <w:rStyle w:val="rynqvb"/>
                <w:lang w:val="en"/>
              </w:rPr>
              <w:t>:</w:t>
            </w:r>
            <w:r w:rsidR="00FB36EB">
              <w:rPr>
                <w:rStyle w:val="rynqvb"/>
                <w:lang w:val="en"/>
              </w:rPr>
              <w:t xml:space="preserve"> he built up</w:t>
            </w:r>
            <w:r w:rsidR="00FB36EB">
              <w:rPr>
                <w:rStyle w:val="rynqvb"/>
                <w:lang w:val="en"/>
              </w:rPr>
              <w:t xml:space="preserve"> a portico with a colonnade and a loggia with </w:t>
            </w:r>
            <w:r w:rsidR="00FB36EB">
              <w:rPr>
                <w:rStyle w:val="rynqvb"/>
                <w:lang w:val="en"/>
              </w:rPr>
              <w:t xml:space="preserve">antique themes </w:t>
            </w:r>
            <w:r w:rsidR="00FB36EB">
              <w:rPr>
                <w:rStyle w:val="rynqvb"/>
                <w:lang w:val="en"/>
              </w:rPr>
              <w:t>b</w:t>
            </w:r>
            <w:r w:rsidR="00FB36EB">
              <w:rPr>
                <w:rStyle w:val="rynqvb"/>
                <w:lang w:val="en"/>
              </w:rPr>
              <w:t>as-reliefs</w:t>
            </w:r>
            <w:r w:rsidR="00FB36EB">
              <w:rPr>
                <w:rStyle w:val="rynqvb"/>
                <w:lang w:val="en"/>
              </w:rPr>
              <w:t>.</w:t>
            </w:r>
            <w:r w:rsidR="00FB36EB">
              <w:rPr>
                <w:rStyle w:val="hwtze"/>
                <w:lang w:val="en"/>
              </w:rPr>
              <w:t xml:space="preserve"> </w:t>
            </w:r>
            <w:r w:rsidR="00FB36EB">
              <w:rPr>
                <w:rStyle w:val="hwtze"/>
                <w:lang w:val="en"/>
              </w:rPr>
              <w:t>T</w:t>
            </w:r>
            <w:r w:rsidR="00FB36EB">
              <w:rPr>
                <w:rStyle w:val="rynqvb"/>
                <w:lang w:val="en"/>
              </w:rPr>
              <w:t xml:space="preserve">he part </w:t>
            </w:r>
            <w:r w:rsidR="00FB36EB">
              <w:rPr>
                <w:rStyle w:val="rynqvb"/>
                <w:lang w:val="en"/>
              </w:rPr>
              <w:t xml:space="preserve">of the building </w:t>
            </w:r>
            <w:r w:rsidR="00FB36EB">
              <w:rPr>
                <w:rStyle w:val="rynqvb"/>
                <w:lang w:val="en"/>
              </w:rPr>
              <w:t>facing Ananyevsky Lane the theme of the "Three Graces", one of Raphael's early paintings</w:t>
            </w:r>
            <w:r w:rsidR="00FB36EB">
              <w:rPr>
                <w:rStyle w:val="rynqvb"/>
                <w:lang w:val="en"/>
              </w:rPr>
              <w:t>, appeared</w:t>
            </w:r>
            <w:r w:rsidR="00FB36EB">
              <w:rPr>
                <w:rStyle w:val="rynqvb"/>
                <w:lang w:val="en"/>
              </w:rPr>
              <w:t>.</w:t>
            </w:r>
            <w:r w:rsidR="00FB36EB">
              <w:rPr>
                <w:rStyle w:val="hwtze"/>
                <w:lang w:val="en"/>
              </w:rPr>
              <w:t xml:space="preserve"> </w:t>
            </w:r>
          </w:p>
          <w:p w:rsidR="00FB36EB" w:rsidRPr="003F199C" w:rsidRDefault="00FB36EB" w:rsidP="00FB36EB">
            <w:pPr>
              <w:rPr>
                <w:lang w:val="en-US"/>
              </w:rPr>
            </w:pPr>
            <w:r>
              <w:rPr>
                <w:rStyle w:val="rynqvb"/>
                <w:lang w:val="en"/>
              </w:rPr>
              <w:t>S</w:t>
            </w:r>
            <w:r>
              <w:rPr>
                <w:rStyle w:val="rynqvb"/>
                <w:lang w:val="en"/>
              </w:rPr>
              <w:t>piral staircases and stucco</w:t>
            </w:r>
            <w:r>
              <w:rPr>
                <w:rStyle w:val="rynqvb"/>
                <w:lang w:val="en"/>
              </w:rPr>
              <w:t xml:space="preserve"> have become the </w:t>
            </w:r>
            <w:r>
              <w:rPr>
                <w:rStyle w:val="rynqvb"/>
                <w:lang w:val="en"/>
              </w:rPr>
              <w:t>most important elements of the</w:t>
            </w:r>
            <w:r>
              <w:rPr>
                <w:rStyle w:val="rynqvb"/>
                <w:lang w:val="en"/>
              </w:rPr>
              <w:t xml:space="preserve"> interoir.</w:t>
            </w:r>
          </w:p>
        </w:tc>
      </w:tr>
      <w:tr w:rsidR="00A13FC0" w:rsidRPr="00FB36EB" w:rsidTr="00A13FC0">
        <w:tc>
          <w:tcPr>
            <w:tcW w:w="4672" w:type="dxa"/>
          </w:tcPr>
          <w:p w:rsidR="00593431" w:rsidRPr="000E7607" w:rsidRDefault="00593431" w:rsidP="00593431">
            <w:pPr>
              <w:shd w:val="clear" w:color="auto" w:fill="FFFFFF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E7607">
              <w:rPr>
                <w:rFonts w:eastAsiaTheme="minorHAnsi"/>
                <w:sz w:val="28"/>
                <w:szCs w:val="28"/>
                <w:lang w:val="en-US" w:eastAsia="en-US"/>
              </w:rPr>
              <w:lastRenderedPageBreak/>
              <w:t>Study of a Woman’s Head</w:t>
            </w:r>
          </w:p>
          <w:p w:rsidR="00593431" w:rsidRPr="000E7607" w:rsidRDefault="00593431" w:rsidP="00593431">
            <w:pPr>
              <w:shd w:val="clear" w:color="auto" w:fill="FFFFFF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E7607">
              <w:rPr>
                <w:rFonts w:eastAsiaTheme="minorHAnsi"/>
                <w:sz w:val="28"/>
                <w:szCs w:val="28"/>
                <w:lang w:val="en-US" w:eastAsia="en-US"/>
              </w:rPr>
              <w:t>Oil on canvas</w:t>
            </w:r>
          </w:p>
          <w:p w:rsidR="00593431" w:rsidRPr="00593431" w:rsidRDefault="00593431" w:rsidP="00593431">
            <w:pPr>
              <w:shd w:val="clear" w:color="auto" w:fill="FFFFFF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E7607">
              <w:rPr>
                <w:rFonts w:eastAsiaTheme="minorHAnsi"/>
                <w:sz w:val="28"/>
                <w:szCs w:val="28"/>
                <w:lang w:val="en-US" w:eastAsia="en-US"/>
              </w:rPr>
              <w:t>ca. 1780</w:t>
            </w:r>
          </w:p>
          <w:p w:rsidR="00593431" w:rsidRPr="00593431" w:rsidRDefault="00B10380" w:rsidP="00593431">
            <w:pPr>
              <w:shd w:val="clear" w:color="auto" w:fill="FFFFFF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  <w:hyperlink r:id="rId5" w:anchor="!?q=Jean-Baptiste%20Greuze&amp;perPage=20&amp;sortBy=Relevance&amp;offset=0&amp;pageSize=0" w:history="1">
              <w:r w:rsidR="00593431" w:rsidRPr="000E7607">
                <w:rPr>
                  <w:rFonts w:eastAsiaTheme="minorHAnsi"/>
                  <w:sz w:val="28"/>
                  <w:szCs w:val="28"/>
                  <w:lang w:val="en-US" w:eastAsia="en-US"/>
                </w:rPr>
                <w:t>Jean-Baptiste Greuze</w:t>
              </w:r>
            </w:hyperlink>
          </w:p>
          <w:p w:rsidR="00A13FC0" w:rsidRPr="003F199C" w:rsidRDefault="00593431" w:rsidP="00593431">
            <w:pPr>
              <w:shd w:val="clear" w:color="auto" w:fill="FFFFFF"/>
              <w:jc w:val="both"/>
              <w:rPr>
                <w:rFonts w:asciiTheme="minorHAnsi" w:hAnsiTheme="minorHAnsi"/>
                <w:lang w:val="en-US"/>
              </w:rPr>
            </w:pPr>
            <w:r w:rsidRPr="000E7607">
              <w:rPr>
                <w:rFonts w:eastAsiaTheme="minorHAnsi"/>
                <w:sz w:val="28"/>
                <w:szCs w:val="28"/>
                <w:lang w:val="en-US" w:eastAsia="en-US"/>
              </w:rPr>
              <w:t>Greuze’s contemporaries would have called this intense and affecting close-up of a model an expressive head.  Such works followed longstanding academic theories about how best to depict emotions that would convey the narratives of historical or biblical subjects.</w:t>
            </w:r>
          </w:p>
        </w:tc>
        <w:tc>
          <w:tcPr>
            <w:tcW w:w="4673" w:type="dxa"/>
          </w:tcPr>
          <w:p w:rsidR="00A13FC0" w:rsidRDefault="00FB36EB">
            <w:r>
              <w:t>Этюд женской головы</w:t>
            </w:r>
          </w:p>
          <w:p w:rsidR="00FB36EB" w:rsidRDefault="00FB36EB">
            <w:r>
              <w:t>Холст, масло</w:t>
            </w:r>
          </w:p>
          <w:p w:rsidR="00FB36EB" w:rsidRDefault="00FB36EB">
            <w:r>
              <w:t>Около 1780 г.</w:t>
            </w:r>
          </w:p>
          <w:p w:rsidR="00FB36EB" w:rsidRDefault="00FB36EB">
            <w:r>
              <w:t>Жан-Батист Грёз</w:t>
            </w:r>
          </w:p>
          <w:p w:rsidR="00FB36EB" w:rsidRDefault="00FB36EB"/>
          <w:p w:rsidR="00FB36EB" w:rsidRPr="00FB36EB" w:rsidRDefault="00FB36EB">
            <w:r>
              <w:t xml:space="preserve">Этот трогательный и «энергичный» этюд крупного плана головы </w:t>
            </w:r>
            <w:r w:rsidR="00B10380">
              <w:t xml:space="preserve">модели </w:t>
            </w:r>
            <w:r>
              <w:t xml:space="preserve">современники Грёза назвали бы прекрасным. </w:t>
            </w:r>
            <w:r w:rsidR="00B10380">
              <w:t>Такие работы стали результатом академических теоретических изысканий о наилучшем способе выражения эмоций в дискурсе исторических или библейских персонажей.</w:t>
            </w:r>
            <w:bookmarkStart w:id="0" w:name="_GoBack"/>
            <w:bookmarkEnd w:id="0"/>
          </w:p>
          <w:p w:rsidR="00FB36EB" w:rsidRPr="00FB36EB" w:rsidRDefault="00FB36EB"/>
          <w:p w:rsidR="00FB36EB" w:rsidRPr="00FB36EB" w:rsidRDefault="00FB36EB"/>
        </w:tc>
      </w:tr>
    </w:tbl>
    <w:p w:rsidR="0045715E" w:rsidRPr="00FD69D7" w:rsidRDefault="0045715E" w:rsidP="0045715E">
      <w:pPr>
        <w:jc w:val="center"/>
      </w:pPr>
      <w:r w:rsidRPr="00FD69D7">
        <w:rPr>
          <w:b/>
          <w:bCs/>
        </w:rPr>
        <w:t>БЛАГОДАРИМ ЗА УЧАСТИЕ В ТЕСТИРОВАНИИ!</w:t>
      </w:r>
    </w:p>
    <w:p w:rsidR="0045715E" w:rsidRPr="00FD69D7" w:rsidRDefault="0045715E" w:rsidP="0045715E">
      <w:r w:rsidRPr="00FD69D7">
        <w:tab/>
      </w:r>
      <w:r w:rsidRPr="008E3238">
        <w:t>Компания ProfLingva не дает комментариев по выполненным тестовым переводам и не вступает в переписку</w:t>
      </w:r>
      <w:r w:rsidRPr="003F199C">
        <w:t xml:space="preserve"> </w:t>
      </w:r>
      <w:r w:rsidRPr="008E3238">
        <w:t>с переводчиками, чьи тесты не соответствуют стандартам компании.</w:t>
      </w:r>
    </w:p>
    <w:p w:rsidR="001966A6" w:rsidRDefault="001966A6"/>
    <w:sectPr w:rsidR="00196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C0"/>
    <w:rsid w:val="00077EBE"/>
    <w:rsid w:val="000E7607"/>
    <w:rsid w:val="001966A6"/>
    <w:rsid w:val="002931B8"/>
    <w:rsid w:val="00316AFF"/>
    <w:rsid w:val="003F199C"/>
    <w:rsid w:val="0045715E"/>
    <w:rsid w:val="00593431"/>
    <w:rsid w:val="006202C6"/>
    <w:rsid w:val="006E2C71"/>
    <w:rsid w:val="008575A0"/>
    <w:rsid w:val="00922606"/>
    <w:rsid w:val="0098247A"/>
    <w:rsid w:val="00A13FC0"/>
    <w:rsid w:val="00AA2912"/>
    <w:rsid w:val="00B10380"/>
    <w:rsid w:val="00BA00FC"/>
    <w:rsid w:val="00E06FF5"/>
    <w:rsid w:val="00E23911"/>
    <w:rsid w:val="00F44875"/>
    <w:rsid w:val="00FB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15F47-5E98-4761-9087-EBEC64B0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FC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593431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934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rtworktitle--text">
    <w:name w:val="artwork__title--text"/>
    <w:basedOn w:val="a0"/>
    <w:rsid w:val="00593431"/>
  </w:style>
  <w:style w:type="character" w:customStyle="1" w:styleId="artworkdate">
    <w:name w:val="artwork__date"/>
    <w:basedOn w:val="a0"/>
    <w:rsid w:val="00593431"/>
  </w:style>
  <w:style w:type="paragraph" w:customStyle="1" w:styleId="artworkcreatorsummary">
    <w:name w:val="artwork__creator__summary"/>
    <w:basedOn w:val="a"/>
    <w:rsid w:val="0059343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rtworkartistname">
    <w:name w:val="artwork__artist__name"/>
    <w:basedOn w:val="a0"/>
    <w:rsid w:val="00593431"/>
  </w:style>
  <w:style w:type="character" w:styleId="a4">
    <w:name w:val="Hyperlink"/>
    <w:basedOn w:val="a0"/>
    <w:uiPriority w:val="99"/>
    <w:unhideWhenUsed/>
    <w:rsid w:val="00593431"/>
    <w:rPr>
      <w:color w:val="0000FF"/>
      <w:u w:val="single"/>
    </w:rPr>
  </w:style>
  <w:style w:type="character" w:customStyle="1" w:styleId="hwtze">
    <w:name w:val="hwtze"/>
    <w:basedOn w:val="a0"/>
    <w:rsid w:val="003F199C"/>
  </w:style>
  <w:style w:type="character" w:customStyle="1" w:styleId="rynqvb">
    <w:name w:val="rynqvb"/>
    <w:basedOn w:val="a0"/>
    <w:rsid w:val="003F1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etmuseum.org/art/collection/search" TargetMode="External"/><Relationship Id="rId4" Type="http://schemas.openxmlformats.org/officeDocument/2006/relationships/hyperlink" Target="mailto:kornilovo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2024-10-31T05:20:00Z</dcterms:created>
  <dcterms:modified xsi:type="dcterms:W3CDTF">2024-10-31T05:48:00Z</dcterms:modified>
</cp:coreProperties>
</file>