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C64B9">
      <w:pPr>
        <w:pStyle w:val="a3"/>
        <w:jc w:val="center"/>
      </w:pPr>
      <w:bookmarkStart w:id="0" w:name="_GoBack"/>
      <w:bookmarkEnd w:id="0"/>
      <w:r>
        <w:t> </w:t>
      </w:r>
    </w:p>
    <w:p w:rsidR="00000000" w:rsidRDefault="00DC64B9">
      <w:pPr>
        <w:pStyle w:val="a3"/>
        <w:jc w:val="center"/>
      </w:pPr>
      <w:r>
        <w:t> </w:t>
      </w:r>
    </w:p>
    <w:tbl>
      <w:tblPr>
        <w:tblpPr w:leftFromText="45" w:rightFromText="45" w:vertAnchor="text"/>
        <w:tblW w:w="9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370"/>
        <w:gridCol w:w="1170"/>
        <w:gridCol w:w="4785"/>
      </w:tblGrid>
      <w:tr w:rsidR="00000000">
        <w:trPr>
          <w:tblCellSpacing w:w="0" w:type="dxa"/>
        </w:trPr>
        <w:tc>
          <w:tcPr>
            <w:tcW w:w="1275" w:type="dxa"/>
            <w:vAlign w:val="center"/>
            <w:hideMark/>
          </w:tcPr>
          <w:p w:rsidR="00000000" w:rsidRDefault="00DC64B9">
            <w:pPr>
              <w:pStyle w:val="a3"/>
            </w:pPr>
            <w:r>
              <w:rPr>
                <w:rStyle w:val="a4"/>
              </w:rPr>
              <w:t>Исх. №</w:t>
            </w:r>
          </w:p>
        </w:tc>
        <w:tc>
          <w:tcPr>
            <w:tcW w:w="2370" w:type="dxa"/>
            <w:vAlign w:val="center"/>
            <w:hideMark/>
          </w:tcPr>
          <w:p w:rsidR="00000000" w:rsidRDefault="00DC64B9">
            <w:pPr>
              <w:pStyle w:val="a3"/>
            </w:pPr>
            <w:r>
              <w:rPr>
                <w:rStyle w:val="a4"/>
              </w:rPr>
              <w:t>{policy_nr}/{claim_nr}</w:t>
            </w:r>
          </w:p>
        </w:tc>
        <w:tc>
          <w:tcPr>
            <w:tcW w:w="1170" w:type="dxa"/>
            <w:vAlign w:val="center"/>
            <w:hideMark/>
          </w:tcPr>
          <w:p w:rsidR="00000000" w:rsidRDefault="00DC64B9">
            <w:pPr>
              <w:pStyle w:val="a3"/>
            </w:pPr>
            <w:r>
              <w:t> </w:t>
            </w:r>
          </w:p>
        </w:tc>
        <w:tc>
          <w:tcPr>
            <w:tcW w:w="4785" w:type="dxa"/>
            <w:vAlign w:val="center"/>
            <w:hideMark/>
          </w:tcPr>
          <w:p w:rsidR="00000000" w:rsidRDefault="00DC64B9">
            <w:pPr>
              <w:pStyle w:val="a3"/>
              <w:jc w:val="right"/>
            </w:pPr>
            <w:r>
              <w:rPr>
                <w:rStyle w:val="a4"/>
              </w:rPr>
              <w:t>{cn_fio}</w:t>
            </w:r>
          </w:p>
        </w:tc>
      </w:tr>
      <w:tr w:rsidR="00000000">
        <w:trPr>
          <w:tblCellSpacing w:w="0" w:type="dxa"/>
        </w:trPr>
        <w:tc>
          <w:tcPr>
            <w:tcW w:w="3645" w:type="dxa"/>
            <w:gridSpan w:val="2"/>
            <w:vAlign w:val="center"/>
            <w:hideMark/>
          </w:tcPr>
          <w:p w:rsidR="00000000" w:rsidRDefault="00DC64B9">
            <w:pPr>
              <w:pStyle w:val="a3"/>
            </w:pPr>
            <w:r>
              <w:t>{sysdate} г.</w:t>
            </w:r>
          </w:p>
        </w:tc>
        <w:tc>
          <w:tcPr>
            <w:tcW w:w="1170" w:type="dxa"/>
            <w:vAlign w:val="center"/>
            <w:hideMark/>
          </w:tcPr>
          <w:p w:rsidR="00000000" w:rsidRDefault="00DC64B9">
            <w:pPr>
              <w:pStyle w:val="a3"/>
            </w:pPr>
            <w:r>
              <w:t> </w:t>
            </w:r>
          </w:p>
        </w:tc>
        <w:tc>
          <w:tcPr>
            <w:tcW w:w="4785" w:type="dxa"/>
            <w:vMerge w:val="restart"/>
            <w:vAlign w:val="center"/>
            <w:hideMark/>
          </w:tcPr>
          <w:p w:rsidR="00000000" w:rsidRDefault="00DC64B9">
            <w:pPr>
              <w:pStyle w:val="a3"/>
              <w:jc w:val="right"/>
            </w:pPr>
            <w:r>
              <w:t>{cn_addr_residence}</w:t>
            </w:r>
          </w:p>
        </w:tc>
      </w:tr>
      <w:tr w:rsidR="00000000">
        <w:trPr>
          <w:tblCellSpacing w:w="0" w:type="dxa"/>
        </w:trPr>
        <w:tc>
          <w:tcPr>
            <w:tcW w:w="3645" w:type="dxa"/>
            <w:gridSpan w:val="2"/>
            <w:vAlign w:val="center"/>
            <w:hideMark/>
          </w:tcPr>
          <w:p w:rsidR="00000000" w:rsidRDefault="00DC64B9">
            <w:pPr>
              <w:pStyle w:val="a3"/>
            </w:pPr>
            <w:r>
              <w:rPr>
                <w:rStyle w:val="a4"/>
              </w:rPr>
              <w:t>Кас.: возмещение ущерба</w:t>
            </w:r>
          </w:p>
        </w:tc>
        <w:tc>
          <w:tcPr>
            <w:tcW w:w="1170" w:type="dxa"/>
            <w:vAlign w:val="center"/>
            <w:hideMark/>
          </w:tcPr>
          <w:p w:rsidR="00000000" w:rsidRDefault="00DC64B9">
            <w:pPr>
              <w:pStyle w:val="a3"/>
            </w:pPr>
            <w: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DC64B9"/>
        </w:tc>
      </w:tr>
    </w:tbl>
    <w:p w:rsidR="00000000" w:rsidRDefault="00DC64B9">
      <w:pPr>
        <w:pStyle w:val="a3"/>
        <w:jc w:val="center"/>
      </w:pPr>
      <w:r>
        <w:t> </w:t>
      </w:r>
    </w:p>
    <w:p w:rsidR="00000000" w:rsidRDefault="00DC64B9">
      <w:pPr>
        <w:pStyle w:val="a3"/>
        <w:jc w:val="center"/>
      </w:pPr>
      <w:r>
        <w:rPr>
          <w:rStyle w:val="a4"/>
        </w:rPr>
        <w:t>Уважаемый {cn_io}!</w:t>
      </w:r>
    </w:p>
    <w:p w:rsidR="00000000" w:rsidRDefault="00DC64B9">
      <w:pPr>
        <w:pStyle w:val="a3"/>
        <w:jc w:val="center"/>
      </w:pPr>
      <w:r>
        <w:t> </w:t>
      </w:r>
    </w:p>
    <w:p w:rsidR="00000000" w:rsidRDefault="00DC64B9">
      <w:pPr>
        <w:pStyle w:val="a3"/>
      </w:pPr>
      <w:r>
        <w:t>Настоящим сообщаем, что {claim_pmt_date}г. на Ваш р/с были перечислены денежные средства в размере {claim_pmt_amt} руб., что подтверждается платежным поручением № {claim_pmt_nr} от {claim_pmt_date} г. Объем страхового возмещения был рассчитан независимой э</w:t>
      </w:r>
      <w:r>
        <w:t>кспертизой по Единой методике определения размера расходов на восстановительный ремонт в отношении повреждённого транспортного средства, утверждённой Положением Банка России № 432-П от 19.09.2014г.</w:t>
      </w:r>
    </w:p>
    <w:p w:rsidR="00000000" w:rsidRDefault="00DC64B9">
      <w:pPr>
        <w:pStyle w:val="a3"/>
      </w:pPr>
      <w:r>
        <w:t xml:space="preserve">В связи с тем, что #### г. причинитель вреда подал жалобу </w:t>
      </w:r>
      <w:r>
        <w:t>на постановление по делу об административном правонарушении УИН № ### от ###, указанное постановление было отменено, дело вернули на новое рассмотрение. Далее, ### г. было выдано постановление о прекращении производства по делу об административном правонар</w:t>
      </w:r>
      <w:r>
        <w:t>ушении в отношении ###. , в котором указано, что невозможно установить нарушение ПДД РФ в связи с противоречивыми показаниями участников ДТП.</w:t>
      </w:r>
    </w:p>
    <w:p w:rsidR="00000000" w:rsidRDefault="00DC64B9">
      <w:pPr>
        <w:pStyle w:val="a3"/>
      </w:pPr>
      <w:r>
        <w:t>В соответствии с п.21. Постановления Пленума Верховного суда РФ от 29 января 2015 г. N 2 «О применении судами зако</w:t>
      </w:r>
      <w:r>
        <w:t>нодательства об обязательном страховании гражданской  ответственности владельцев транспортных средств» если из документов, составленных сотрудниками полиции, невозможно установить вину застрахованного лица в наступлении страхового случая или определить сте</w:t>
      </w:r>
      <w:r>
        <w:t>пень вины каждого из водителей - участников дорожно-транспортного происшествия, лицо, обратившееся за страховой выплатой, не лишается права на ее получение. В таком случае страховые организации производят страховые выплаты в равных долях от размера понесен</w:t>
      </w:r>
      <w:r>
        <w:t>ного каждым ущерба.</w:t>
      </w:r>
    </w:p>
    <w:p w:rsidR="00000000" w:rsidRDefault="00DC64B9">
      <w:pPr>
        <w:pStyle w:val="a3"/>
      </w:pPr>
      <w:r>
        <w:t xml:space="preserve">На основании вышеизложенного, АО «ИНТАЧ Страхование» имеет правовые основания для производства выплаты Вам в размере 50% от объема страхового возмещения. Исходя из того, что стоимость восстановительного ремонта с учетом дополнительного </w:t>
      </w:r>
      <w:r>
        <w:t>осмотра составила ### руб., просим Вас вернуть излишне перечисленные средства в размере ### руб. на наши реквизиты:</w:t>
      </w:r>
    </w:p>
    <w:p w:rsidR="00000000" w:rsidRDefault="00DC64B9">
      <w:pPr>
        <w:pStyle w:val="a3"/>
      </w:pPr>
      <w:r>
        <w:t> </w:t>
      </w:r>
    </w:p>
    <w:p w:rsidR="00000000" w:rsidRDefault="00DC64B9">
      <w:pPr>
        <w:pStyle w:val="a3"/>
      </w:pPr>
      <w:r>
        <w:t>Акционерное Общество "ИНТАЧ СТРАХОВАНИЕ"</w:t>
      </w:r>
      <w:r>
        <w:br/>
        <w:t>р/с 40702810497114070200</w:t>
      </w:r>
      <w:r>
        <w:br/>
        <w:t>БИК 044583272</w:t>
      </w:r>
      <w:r>
        <w:br/>
        <w:t>к/с 30101810000000000272</w:t>
      </w:r>
      <w:r>
        <w:br/>
        <w:t>МОСКОВСКИЙ ФИЛИАЛ ПАО АКБ "РОСБАН</w:t>
      </w:r>
      <w:r>
        <w:t>К"</w:t>
      </w:r>
    </w:p>
    <w:p w:rsidR="00000000" w:rsidRDefault="00DC64B9">
      <w:pPr>
        <w:pStyle w:val="a3"/>
      </w:pPr>
      <w:r>
        <w:t>Акционерное Общество "ИНТАЧ СТРАХОВАНИЕ"</w:t>
      </w:r>
      <w:r>
        <w:br/>
        <w:t>р/с 40701810900180000261</w:t>
      </w:r>
      <w:r>
        <w:br/>
      </w:r>
      <w:r>
        <w:lastRenderedPageBreak/>
        <w:t>БИК 044585659</w:t>
      </w:r>
      <w:r>
        <w:br/>
        <w:t>к/с 30101810300000000659</w:t>
      </w:r>
      <w:r>
        <w:br/>
        <w:t>в ОАО "МОСКОВСКИЙ КРЕДИТНЫЙ БАНК"</w:t>
      </w:r>
    </w:p>
    <w:p w:rsidR="00000000" w:rsidRDefault="00DC64B9">
      <w:pPr>
        <w:pStyle w:val="a3"/>
      </w:pPr>
      <w:r>
        <w:t xml:space="preserve">В назначении платежа необходимо </w:t>
      </w:r>
      <w:r>
        <w:rPr>
          <w:rStyle w:val="a5"/>
          <w:b/>
          <w:bCs/>
        </w:rPr>
        <w:t xml:space="preserve">обязательно </w:t>
      </w:r>
      <w:r>
        <w:t> указать «Возврат излишне перечисленного страхового возмещения в разме</w:t>
      </w:r>
      <w:r>
        <w:t>ре ### руб. по договору № {policy_mtpl_blank} акт №###».</w:t>
      </w:r>
    </w:p>
    <w:p w:rsidR="00000000" w:rsidRDefault="00DC64B9">
      <w:pPr>
        <w:pStyle w:val="a3"/>
      </w:pPr>
      <w:r>
        <w:t xml:space="preserve">Если Вы не согласны с данной позицией, Вам необходимо представить в АО «ИНТАЧ Страхование» </w:t>
      </w:r>
      <w:r>
        <w:t>документ из компетентных органов, в котором будет указано, что второй участник признан виновным в дорожно-транспортном происшествии от {claim_date}г. Таким документом может быть решение суда о степени виновности участников ДТП.</w:t>
      </w:r>
    </w:p>
    <w:p w:rsidR="00000000" w:rsidRDefault="00DC64B9">
      <w:pPr>
        <w:pStyle w:val="a3"/>
      </w:pPr>
      <w:r>
        <w:t>В случае неудовлетворения да</w:t>
      </w:r>
      <w:r>
        <w:t>нного требования в срок до ### г. АО «ИНТАЧ Страхование» оставляет за собой право на обращение в суд на основании гл. 60 ст. 1102 ГК РФ (часть 2) для взыскания с Вас неосновательно приобретенных денежных средств в размере</w:t>
      </w:r>
    </w:p>
    <w:p w:rsidR="00000000" w:rsidRDefault="00DC64B9">
      <w:pPr>
        <w:pStyle w:val="a3"/>
      </w:pPr>
      <w:r>
        <w:t xml:space="preserve">### руб., принадлежащих АО «ИНТАЧ </w:t>
      </w:r>
      <w:r>
        <w:t>Страхование».</w:t>
      </w:r>
    </w:p>
    <w:p w:rsidR="00000000" w:rsidRDefault="00DC64B9">
      <w:pPr>
        <w:pStyle w:val="a3"/>
      </w:pPr>
      <w:r>
        <w:t> </w:t>
      </w:r>
    </w:p>
    <w:p w:rsidR="00000000" w:rsidRDefault="00DC64B9">
      <w:pPr>
        <w:pStyle w:val="a3"/>
      </w:pPr>
      <w:r>
        <w:t> </w:t>
      </w:r>
    </w:p>
    <w:p w:rsidR="00000000" w:rsidRDefault="00DC64B9">
      <w:pPr>
        <w:pStyle w:val="a3"/>
      </w:pPr>
      <w:r>
        <w:t>Приложение:</w:t>
      </w:r>
    </w:p>
    <w:p w:rsidR="00000000" w:rsidRDefault="00DC64B9">
      <w:pPr>
        <w:pStyle w:val="a3"/>
      </w:pPr>
      <w:r>
        <w:t>1.         Копия платежного поручения № {claim_pmt_nr} от  {claim_pmt_date}г.</w:t>
      </w:r>
    </w:p>
    <w:p w:rsidR="00000000" w:rsidRDefault="00DC64B9">
      <w:pPr>
        <w:pStyle w:val="a3"/>
      </w:pPr>
      <w:r>
        <w:t> </w:t>
      </w:r>
    </w:p>
    <w:p w:rsidR="00000000" w:rsidRDefault="00DC64B9">
      <w:pPr>
        <w:pStyle w:val="a3"/>
      </w:pPr>
      <w:r>
        <w:t> </w:t>
      </w:r>
    </w:p>
    <w:p w:rsidR="00000000" w:rsidRDefault="00DC64B9">
      <w:pPr>
        <w:pStyle w:val="a3"/>
      </w:pPr>
      <w:r>
        <w:t> </w:t>
      </w:r>
    </w:p>
    <w:tbl>
      <w:tblPr>
        <w:tblW w:w="98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8"/>
        <w:gridCol w:w="2695"/>
        <w:gridCol w:w="2202"/>
      </w:tblGrid>
      <w:tr w:rsidR="00000000">
        <w:trPr>
          <w:tblCellSpacing w:w="0" w:type="dxa"/>
        </w:trPr>
        <w:tc>
          <w:tcPr>
            <w:tcW w:w="4965" w:type="dxa"/>
            <w:vAlign w:val="center"/>
            <w:hideMark/>
          </w:tcPr>
          <w:p w:rsidR="00000000" w:rsidRDefault="00DC64B9">
            <w:pPr>
              <w:pStyle w:val="a3"/>
            </w:pPr>
            <w:r>
              <w:t>С уважением,</w:t>
            </w:r>
          </w:p>
          <w:p w:rsidR="00000000" w:rsidRDefault="00DC64B9">
            <w:pPr>
              <w:pStyle w:val="a3"/>
            </w:pPr>
            <w:r>
              <w:t> </w:t>
            </w:r>
          </w:p>
          <w:p w:rsidR="00000000" w:rsidRDefault="00DC64B9">
            <w:pPr>
              <w:pStyle w:val="a3"/>
            </w:pPr>
            <w:r>
              <w:t>Руководитель направления выплат,</w:t>
            </w:r>
          </w:p>
          <w:p w:rsidR="00000000" w:rsidRDefault="00DC64B9">
            <w:pPr>
              <w:pStyle w:val="a3"/>
            </w:pPr>
            <w:r>
              <w:t>Технической экспертизы и работы с вендорами</w:t>
            </w:r>
          </w:p>
        </w:tc>
        <w:tc>
          <w:tcPr>
            <w:tcW w:w="2700" w:type="dxa"/>
            <w:vAlign w:val="center"/>
            <w:hideMark/>
          </w:tcPr>
          <w:p w:rsidR="00000000" w:rsidRDefault="00DC64B9">
            <w:pPr>
              <w:pStyle w:val="a3"/>
            </w:pPr>
            <w:r>
              <w:t> </w:t>
            </w:r>
          </w:p>
        </w:tc>
        <w:tc>
          <w:tcPr>
            <w:tcW w:w="2205" w:type="dxa"/>
            <w:vAlign w:val="center"/>
            <w:hideMark/>
          </w:tcPr>
          <w:p w:rsidR="00000000" w:rsidRDefault="00DC64B9">
            <w:pPr>
              <w:pStyle w:val="a3"/>
            </w:pPr>
            <w:r>
              <w:t>     Э.Е. Волгин.</w:t>
            </w:r>
          </w:p>
        </w:tc>
      </w:tr>
    </w:tbl>
    <w:p w:rsidR="00DC64B9" w:rsidRDefault="00DC64B9">
      <w:pPr>
        <w:pStyle w:val="a3"/>
      </w:pPr>
      <w:r>
        <w:t> </w:t>
      </w:r>
    </w:p>
    <w:sectPr w:rsidR="00DC6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F7E52"/>
    <w:rsid w:val="008F7E52"/>
    <w:rsid w:val="00DC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2017-04-03T10:24:00Z</dcterms:created>
  <dcterms:modified xsi:type="dcterms:W3CDTF">2017-04-03T10:24:00Z</dcterms:modified>
</cp:coreProperties>
</file>