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106BD2">
            <w:pPr>
              <w:pStyle w:val="a3"/>
            </w:pPr>
            <w:bookmarkStart w:id="0" w:name="_GoBack"/>
            <w:bookmarkEnd w:id="0"/>
            <w:r>
              <w:t> </w:t>
            </w:r>
          </w:p>
          <w:p w:rsidR="00000000" w:rsidRDefault="00106BD2">
            <w:pPr>
              <w:pStyle w:val="a3"/>
            </w:pPr>
            <w:r>
              <w:t> </w:t>
            </w:r>
          </w:p>
          <w:p w:rsidR="00000000" w:rsidRDefault="00106BD2">
            <w:pPr>
              <w:pStyle w:val="a3"/>
            </w:pPr>
            <w:r>
              <w:t> </w:t>
            </w:r>
          </w:p>
          <w:p w:rsidR="00000000" w:rsidRDefault="00106BD2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106BD2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106BD2">
            <w:pPr>
              <w:pStyle w:val="a3"/>
              <w:jc w:val="right"/>
            </w:pPr>
            <w:r>
              <w:t> </w:t>
            </w:r>
          </w:p>
          <w:p w:rsidR="00000000" w:rsidRDefault="00106BD2">
            <w:pPr>
              <w:pStyle w:val="a3"/>
              <w:jc w:val="right"/>
            </w:pPr>
            <w:r>
              <w:t> </w:t>
            </w:r>
          </w:p>
          <w:p w:rsidR="00000000" w:rsidRDefault="00106BD2">
            <w:pPr>
              <w:pStyle w:val="a3"/>
              <w:jc w:val="right"/>
            </w:pPr>
            <w:r>
              <w:t> </w:t>
            </w:r>
          </w:p>
          <w:p w:rsidR="00000000" w:rsidRDefault="00106BD2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106BD2">
            <w:pPr>
              <w:pStyle w:val="a3"/>
            </w:pPr>
            <w:r>
              <w:t>{sysdate} г.</w:t>
            </w:r>
          </w:p>
        </w:tc>
        <w:tc>
          <w:tcPr>
            <w:tcW w:w="1965" w:type="dxa"/>
            <w:vAlign w:val="center"/>
            <w:hideMark/>
          </w:tcPr>
          <w:p w:rsidR="00000000" w:rsidRDefault="00106BD2">
            <w:pPr>
              <w:pStyle w:val="a3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106BD2">
            <w:pPr>
              <w:pStyle w:val="a3"/>
            </w:pPr>
            <w:r>
              <w:t>{cn_addr_residence}</w:t>
            </w:r>
          </w:p>
        </w:tc>
      </w:tr>
      <w:tr w:rsidR="00000000">
        <w:trPr>
          <w:trHeight w:val="57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106B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106BD2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106BD2"/>
        </w:tc>
      </w:tr>
    </w:tbl>
    <w:p w:rsidR="00000000" w:rsidRDefault="00106BD2">
      <w:pPr>
        <w:pStyle w:val="a3"/>
        <w:jc w:val="center"/>
      </w:pPr>
      <w:r>
        <w:t> </w:t>
      </w:r>
    </w:p>
    <w:p w:rsidR="00000000" w:rsidRDefault="00106BD2">
      <w:pPr>
        <w:pStyle w:val="a3"/>
        <w:jc w:val="center"/>
      </w:pPr>
      <w:r>
        <w:t> </w:t>
      </w:r>
    </w:p>
    <w:p w:rsidR="00000000" w:rsidRDefault="00106BD2">
      <w:pPr>
        <w:pStyle w:val="a3"/>
        <w:jc w:val="center"/>
      </w:pPr>
      <w:r>
        <w:t> </w:t>
      </w:r>
    </w:p>
    <w:p w:rsidR="00000000" w:rsidRDefault="00106BD2">
      <w:pPr>
        <w:pStyle w:val="a3"/>
        <w:jc w:val="center"/>
      </w:pPr>
      <w:r>
        <w:rPr>
          <w:rStyle w:val="a4"/>
        </w:rPr>
        <w:t>Уважаемый {cn_io}!</w:t>
      </w:r>
    </w:p>
    <w:p w:rsidR="00000000" w:rsidRDefault="00106BD2">
      <w:pPr>
        <w:pStyle w:val="a3"/>
      </w:pPr>
      <w:r>
        <w:t>По результатам рассмотрения Вашего обращения от {date_complaint} г. сообщаем следующую информацию.</w:t>
      </w:r>
    </w:p>
    <w:p w:rsidR="00000000" w:rsidRDefault="00106BD2">
      <w:pPr>
        <w:pStyle w:val="a3"/>
      </w:pPr>
      <w:r>
        <w:t>{policy_start_date} г. между Вами и ОАО «ИНТАЧ СТРАХОВАНИЕ» в отношении автомобиля {policy_car}, рег. номер {policy_car_plate}, был заключен Договор страхования № {policy_nr} на основании Правил добровольного комбинированного страхования транспортных средс</w:t>
      </w:r>
      <w:r>
        <w:t>тв и сопутствующих рисков (далее – Правила страхования), которые являются неотъемлемой частью страхового полиса.</w:t>
      </w:r>
    </w:p>
    <w:p w:rsidR="00000000" w:rsidRDefault="00106BD2">
      <w:pPr>
        <w:pStyle w:val="a3"/>
      </w:pPr>
      <w:r>
        <w:t>#DATE_PSO# г. в соответствии с п. 2.7. Правил страхования был проведен предстраховой осмотр Вашего автомобиля, результаты которого были зафикси</w:t>
      </w:r>
      <w:r>
        <w:t>рованы на фотографиях и в Листе осмотра ТС.</w:t>
      </w:r>
    </w:p>
    <w:p w:rsidR="00000000" w:rsidRDefault="00106BD2">
      <w:pPr>
        <w:pStyle w:val="a3"/>
      </w:pPr>
      <w:r>
        <w:t>#DATE_PSO# г. на предстраховом осмотре было выявлено повреждение стекла лобового автомобиля {policy_car}, рег. номер {policy_car_plate}. К сожалению, в Листе осмотра ТС, составленном сотрудником нашей компании, о</w:t>
      </w:r>
      <w:r>
        <w:t xml:space="preserve">шибочно не была внесена информация о данном повреждении. Однако #### видно на фотографиях, являющихся приложением к Листу осмотра </w:t>
      </w:r>
      <w:r>
        <w:rPr>
          <w:rStyle w:val="a5"/>
        </w:rPr>
        <w:t>(см. фото во вложении)</w:t>
      </w:r>
      <w:r>
        <w:t>.</w:t>
      </w:r>
    </w:p>
    <w:p w:rsidR="00000000" w:rsidRDefault="00106BD2">
      <w:pPr>
        <w:pStyle w:val="a3"/>
      </w:pPr>
      <w:r>
        <w:t>Кроме того, обращаем Ваше внимание, что в Листе осмотра ТС от #DATE_PSO# г. содержится следующая инфор</w:t>
      </w:r>
      <w:r>
        <w:t xml:space="preserve">мация: «Стоимость устранения повреждений, зафиксированных в настоящем Листе осмотра </w:t>
      </w:r>
      <w:r>
        <w:rPr>
          <w:u w:val="single"/>
        </w:rPr>
        <w:t>или с помощью проводимой фотосъемки</w:t>
      </w:r>
      <w:r>
        <w:t xml:space="preserve">, вычитается из размера страхового возмещения, подлежащего выплате Страховщиком при наступлении страхового случая по риску «Ущерб», если </w:t>
      </w:r>
      <w:r>
        <w:t>Страхователь заблаговременно до наступления страхового случая, не представил Страховщику отремонтированное ТС на осмотр, либо не представил документы, подтверждающие факт ремонта ТС».</w:t>
      </w:r>
    </w:p>
    <w:p w:rsidR="00000000" w:rsidRDefault="00106BD2">
      <w:pPr>
        <w:pStyle w:val="a3"/>
      </w:pPr>
      <w:r>
        <w:t>С данными условиями Вы были ознакомлены и согласны, о чем свидетельствует Ваша подпись в Листе осмотра.</w:t>
      </w:r>
    </w:p>
    <w:p w:rsidR="00000000" w:rsidRDefault="00106BD2">
      <w:pPr>
        <w:pStyle w:val="a3"/>
      </w:pPr>
      <w:r>
        <w:t>{claim_date} г. Вы сообщили о повреждении застрахованного автомобиля. Страховому делу был присвоен номер {claim_nr}.</w:t>
      </w:r>
    </w:p>
    <w:p w:rsidR="00000000" w:rsidRDefault="00106BD2">
      <w:pPr>
        <w:pStyle w:val="a3"/>
      </w:pPr>
      <w:r>
        <w:lastRenderedPageBreak/>
        <w:t>{expert_act_date} г. ОАО «ИНТАЧ СТР</w:t>
      </w:r>
      <w:r>
        <w:t>АХОВАНИЕ» был организован осмотр автомобиля представителем независимой экспертизы.</w:t>
      </w:r>
    </w:p>
    <w:p w:rsidR="00000000" w:rsidRDefault="00106BD2">
      <w:pPr>
        <w:pStyle w:val="a3"/>
      </w:pPr>
      <w:r>
        <w:t>Согласно Акту осмотра №{expert_act_nr} от {expert_act_date} г. на застрахованном автомобиле в результате страхового случая № {claim_nr} повреждены следующие детали:</w:t>
      </w:r>
    </w:p>
    <w:p w:rsidR="00000000" w:rsidRDefault="00106BD2">
      <w:pPr>
        <w:pStyle w:val="a3"/>
      </w:pPr>
      <w:r>
        <w:t>1.      </w:t>
      </w:r>
      <w:r>
        <w:t>           ####.</w:t>
      </w:r>
    </w:p>
    <w:p w:rsidR="00000000" w:rsidRDefault="00106BD2">
      <w:pPr>
        <w:pStyle w:val="a3"/>
      </w:pPr>
      <w:r>
        <w:t xml:space="preserve">В соответствии со ст.929 Гражданского кодекса РФ, а также согласно п.2.1. Правил страхования, Страховщик обязуется за обусловленную договором плату (страховую премию) при наступлении предусмотренного в договоре события (страхового случая) </w:t>
      </w:r>
      <w:r>
        <w:t xml:space="preserve">возместить страхователю или иному лицу, в пользу которого заключен договор (выгодоприобретателю), </w:t>
      </w:r>
      <w:r>
        <w:rPr>
          <w:rStyle w:val="a4"/>
        </w:rPr>
        <w:t>причиненные вследствие этого события</w:t>
      </w:r>
      <w:r>
        <w:t xml:space="preserve"> убытки в застрахованном имуществе.</w:t>
      </w:r>
    </w:p>
    <w:p w:rsidR="00000000" w:rsidRDefault="00106BD2">
      <w:pPr>
        <w:pStyle w:val="a3"/>
      </w:pPr>
      <w:r>
        <w:t>Однако, для устранения повреждений, полученных в результате страхового случая № {claim</w:t>
      </w:r>
      <w:r>
        <w:t>_nr}, было необходимо осуществление ремонта, аналогичного ремонту, требующемуся для устранения повреждений, зафиксированных на предстраховом осмотре, то есть, полученные {claim_date} г. повреждения не причинили убытков застрахованному имуществу.</w:t>
      </w:r>
    </w:p>
    <w:p w:rsidR="00000000" w:rsidRDefault="00106BD2">
      <w:pPr>
        <w:pStyle w:val="a3"/>
      </w:pPr>
      <w:r>
        <w:t>В соответс</w:t>
      </w:r>
      <w:r>
        <w:t>твии с п.7.2.20 Приложения №1 к Правилам Страхования, исключением из страхового покрытия является ущерб, связанный с повреждениями деталей, узлов и агрегатов, которые были повреждены на момент заключения договора страхования (что было зафиксировано при пре</w:t>
      </w:r>
      <w:r>
        <w:t>дстраховом осмотре ТС) в части ремонтных воздействий, необходимых для устранения повреждений ТС, имевшихся во время принятия на страхование.</w:t>
      </w:r>
    </w:p>
    <w:p w:rsidR="00000000" w:rsidRDefault="00106BD2">
      <w:pPr>
        <w:pStyle w:val="a3"/>
      </w:pPr>
      <w:r>
        <w:t>Таким образом, руководствуясь п. 7.2.20 Приложения №1 к Правилам Страхования, ОАО «ИНТАЧ СТРАХОВАНИЕ» отказало в вы</w:t>
      </w:r>
      <w:r>
        <w:t>плате возмещения в части #### в связи с тем, что данная деталь подлежала идентичным ремонтным воздействиям до наступления страхового случая.</w:t>
      </w:r>
    </w:p>
    <w:p w:rsidR="00000000" w:rsidRDefault="00106BD2">
      <w:pPr>
        <w:pStyle w:val="a3"/>
      </w:pPr>
      <w:r>
        <w:t>Таким образом, при повторном рассмотрении материалов дела ОАО «ИНТАЧ СТРАХОВАНИЕ» не нашло правовых оснований для п</w:t>
      </w:r>
      <w:r>
        <w:t>ересмотра решения об отказе по страховому случаю № {claim_nr}.</w:t>
      </w:r>
    </w:p>
    <w:p w:rsidR="00000000" w:rsidRDefault="00106BD2">
      <w:pPr>
        <w:pStyle w:val="a3"/>
      </w:pPr>
      <w:r>
        <w:t>Просим с пониманием отнеситесь к нашему решению, и выражаем надежду, что сложившиеся обстоятельства не окажут негативного влияния на наши взаимоотношения.</w:t>
      </w:r>
    </w:p>
    <w:p w:rsidR="00000000" w:rsidRDefault="00106BD2">
      <w:pPr>
        <w:pStyle w:val="a3"/>
      </w:pPr>
      <w:r>
        <w:rPr>
          <w:rStyle w:val="a4"/>
        </w:rPr>
        <w:t>С уважением,</w:t>
      </w:r>
    </w:p>
    <w:p w:rsidR="00000000" w:rsidRDefault="00106BD2">
      <w:pPr>
        <w:pStyle w:val="a3"/>
      </w:pPr>
      <w:r>
        <w:rPr>
          <w:rStyle w:val="a4"/>
        </w:rPr>
        <w:t>Специалист по работе с пр</w:t>
      </w:r>
      <w:r>
        <w:rPr>
          <w:rStyle w:val="a4"/>
        </w:rPr>
        <w:t xml:space="preserve">етензиями </w:t>
      </w:r>
    </w:p>
    <w:p w:rsidR="00106BD2" w:rsidRDefault="00106BD2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1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E2162"/>
    <w:rsid w:val="00106BD2"/>
    <w:rsid w:val="008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2017-04-03T10:36:00Z</dcterms:created>
  <dcterms:modified xsi:type="dcterms:W3CDTF">2017-04-03T10:36:00Z</dcterms:modified>
</cp:coreProperties>
</file>