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</w:pPr>
      <w:r>
        <w:rPr>
          <w:b/>
          <w:color w:val="1F4E79"/>
          <w:sz w:val="32"/>
        </w:rPr>
        <w:t>СПЕЦИФІКАЦІЯ АРХІТЕКТУРИ МОДУЛЯ: INGRESS GATEWAY STREAM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Mar>
              <w:top w:w="40" w:type="dxa"/>
              <w:bottom w:w="40" w:type="dxa"/>
              <w:left w:w="0" w:type="dxa"/>
              <w:right w:w="40" w:type="dxa"/>
            </w:tcMar>
            <w:tcBorders/>
          </w:tcPr>
          <w:p>
            <w:r>
              <w:rPr>
                <w:b/>
              </w:rPr>
              <w:t>Ідентифікатор конфігурації:</w:t>
            </w:r>
          </w:p>
        </w:tc>
        <w:tc>
          <w:tcPr>
            <w:tcW w:type="dxa" w:w="4320"/>
            <w:tcMar>
              <w:top w:w="40" w:type="dxa"/>
              <w:bottom w:w="40" w:type="dxa"/>
              <w:left w:w="0" w:type="dxa"/>
              <w:right w:w="40" w:type="dxa"/>
            </w:tcMar>
            <w:tcBorders/>
          </w:tcPr>
          <w:p>
            <w:r>
              <w:t>MCP-2026-X1</w:t>
            </w:r>
          </w:p>
        </w:tc>
      </w:tr>
      <w:tr>
        <w:tc>
          <w:tcPr>
            <w:tcW w:type="dxa" w:w="4320"/>
            <w:tcMar>
              <w:top w:w="40" w:type="dxa"/>
              <w:bottom w:w="40" w:type="dxa"/>
              <w:left w:w="0" w:type="dxa"/>
              <w:right w:w="40" w:type="dxa"/>
            </w:tcMar>
            <w:tcBorders/>
          </w:tcPr>
          <w:p>
            <w:r>
              <w:rPr>
                <w:b/>
              </w:rPr>
              <w:t>Цільова СУБД інфраструктури:</w:t>
            </w:r>
          </w:p>
        </w:tc>
        <w:tc>
          <w:tcPr>
            <w:tcW w:type="dxa" w:w="4320"/>
            <w:tcMar>
              <w:top w:w="40" w:type="dxa"/>
              <w:bottom w:w="40" w:type="dxa"/>
              <w:left w:w="0" w:type="dxa"/>
              <w:right w:w="40" w:type="dxa"/>
            </w:tcMar>
            <w:tcBorders/>
          </w:tcPr>
          <w:p>
            <w:r>
              <w:t>PostgreSQL 16.2</w:t>
            </w:r>
          </w:p>
        </w:tc>
      </w:tr>
      <w:tr>
        <w:tc>
          <w:tcPr>
            <w:tcW w:type="dxa" w:w="4320"/>
            <w:tcMar>
              <w:top w:w="40" w:type="dxa"/>
              <w:bottom w:w="40" w:type="dxa"/>
              <w:left w:w="0" w:type="dxa"/>
              <w:right w:w="40" w:type="dxa"/>
            </w:tcMar>
            <w:tcBorders/>
          </w:tcPr>
          <w:p>
            <w:r>
              <w:rPr>
                <w:b/>
              </w:rPr>
              <w:t>Дата генерації специфікації:</w:t>
            </w:r>
          </w:p>
        </w:tc>
        <w:tc>
          <w:tcPr>
            <w:tcW w:type="dxa" w:w="4320"/>
            <w:tcMar>
              <w:top w:w="40" w:type="dxa"/>
              <w:bottom w:w="40" w:type="dxa"/>
              <w:left w:w="0" w:type="dxa"/>
              <w:right w:w="40" w:type="dxa"/>
            </w:tcMar>
            <w:tcBorders/>
          </w:tcPr>
          <w:p>
            <w:r>
              <w:t>02.06.2026 16:00 EEST</w:t>
            </w:r>
          </w:p>
        </w:tc>
      </w:tr>
    </w:tbl>
    <w:p>
      <w:pPr>
        <w:spacing w:after="240"/>
      </w:pPr>
    </w:p>
    <w:p>
      <w:pPr>
        <w:spacing w:before="240" w:after="120"/>
      </w:pPr>
      <w:r>
        <w:rPr>
          <w:b/>
          <w:color w:val="2E75B6"/>
          <w:sz w:val="26"/>
        </w:rPr>
        <w:t>1. НАВАНТАЖУВАЛЬНІ ПАРАМЕТРИ ТА ПРОПУСКНА ЗДАТНІСТЬ</w:t>
      </w:r>
    </w:p>
    <w:p>
      <w:r>
        <w:t>Даний архітектурний зріз описує підсистему Ingress Gateway Stream. Компонент розроблено з урахуванням асинхронного виконання операцій та прямого мапінгу даних через Model Context Protocol (MCP). Нижче наведено ліміти відмовостійкості: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4320"/>
        <w:gridCol w:w="2880"/>
      </w:tblGrid>
      <w:tr>
        <w:tc>
          <w:tcPr>
            <w:tcW w:type="dxa" w:w="2880"/>
            <w:shd w:fill="1F4E7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</w:rPr>
              <w:t>Код метрики</w:t>
            </w:r>
          </w:p>
        </w:tc>
        <w:tc>
          <w:tcPr>
            <w:tcW w:type="dxa" w:w="2880"/>
            <w:shd w:fill="1F4E7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</w:rPr>
              <w:t>Параметр системи</w:t>
            </w:r>
          </w:p>
        </w:tc>
        <w:tc>
          <w:tcPr>
            <w:tcW w:type="dxa" w:w="2880"/>
            <w:shd w:fill="1F4E7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</w:rPr>
              <w:t>Цільове значення</w:t>
            </w:r>
          </w:p>
        </w:tc>
      </w:tr>
      <w:tr>
        <w:tc>
          <w:tcPr>
            <w:tcW w:type="dxa" w:w="2880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t>METRIC-01</w:t>
            </w:r>
          </w:p>
        </w:tc>
        <w:tc>
          <w:tcPr>
            <w:tcW w:type="dxa" w:w="2880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t>Максимальна інтенсивність транзакцій потоку</w:t>
            </w:r>
          </w:p>
        </w:tc>
        <w:tc>
          <w:tcPr>
            <w:tcW w:type="dxa" w:w="2880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t>2 500 TPS</w:t>
            </w:r>
          </w:p>
        </w:tc>
      </w:tr>
      <w:tr>
        <w:tc>
          <w:tcPr>
            <w:tcW w:type="dxa" w:w="2880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shd w:fill="F2F6FA"/>
          </w:tcPr>
          <w:p>
            <w:r>
              <w:t>METRIC-02</w:t>
            </w:r>
          </w:p>
        </w:tc>
        <w:tc>
          <w:tcPr>
            <w:tcW w:type="dxa" w:w="2880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shd w:fill="F2F6FA"/>
          </w:tcPr>
          <w:p>
            <w:r>
              <w:t>Глибина збереження журналів логування (ротація)</w:t>
            </w:r>
          </w:p>
        </w:tc>
        <w:tc>
          <w:tcPr>
            <w:tcW w:type="dxa" w:w="2880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shd w:fill="F2F6FA"/>
          </w:tcPr>
          <w:p>
            <w:r>
              <w:t>30 календарних днів</w:t>
            </w:r>
          </w:p>
        </w:tc>
      </w:tr>
      <w:tr>
        <w:tc>
          <w:tcPr>
            <w:tcW w:type="dxa" w:w="2880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t>METRIC-03</w:t>
            </w:r>
          </w:p>
        </w:tc>
        <w:tc>
          <w:tcPr>
            <w:tcW w:type="dxa" w:w="2880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t>Максимальне вікно очікування відповіді шлюзу (Timeout)</w:t>
            </w:r>
          </w:p>
        </w:tc>
        <w:tc>
          <w:tcPr>
            <w:tcW w:type="dxa" w:w="2880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t>450 мс</w:t>
            </w:r>
          </w:p>
        </w:tc>
      </w:tr>
    </w:tbl>
    <w:p>
      <w:pPr>
        <w:spacing w:after="2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6F8"/>
            <w:tcMar>
              <w:top w:w="140" w:type="dxa"/>
              <w:bottom w:w="140" w:type="dxa"/>
              <w:left w:w="200" w:type="dxa"/>
              <w:right w:w="140" w:type="dxa"/>
            </w:tcMar>
            <w:tcBorders>
              <w:left w:val="single" w:sz="24" w:color="1F4E79"/>
              <w:top w:val="none"/>
              <w:bottom w:val="none"/>
              <w:right w:val="none"/>
            </w:tcBorders>
          </w:tcPr>
          <w:p>
            <w:r>
              <w:rPr>
                <w:rFonts w:ascii="Arial" w:hAnsi="Arial"/>
                <w:b/>
                <w:color w:val="1F4E79"/>
                <w:sz w:val="20"/>
              </w:rPr>
              <w:t xml:space="preserve">ВАЖЛИВО ДЛЯ ТЕСТУВАННЯ: </w:t>
            </w:r>
            <w:r>
              <w:rPr>
                <w:rFonts w:ascii="Arial" w:hAnsi="Arial"/>
                <w:i/>
                <w:color w:val="404040"/>
                <w:sz w:val="20"/>
              </w:rPr>
              <w:t>Перевищення ліміту в 2 500 TPS призведе до примусової активації механізму Backpressure та скидання непріоритетних пакетів черги.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7"/>
      </w:rPr>
      <w:t>CONFIDENTIAL // MCP SPECIFICATION v2.4 // ID: MCP-2026-X1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0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