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1F4E79"/>
          <w:sz w:val="32"/>
        </w:rPr>
        <w:t>СПЕЦИФІКАЦІЯ АРХІТЕКТУРИ МОДУЛЯ: ANALYTICAL ANALYTICS NODE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Ідентифікатор конфігурації: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MCP-2026-X3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Цільова СУБД інфраструктури: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ClickHouse Cloud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Дата генерації специфікації: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16:00 EEST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2E75B6"/>
          <w:sz w:val="26"/>
        </w:rPr>
        <w:t>1. НАВАНТАЖУВАЛЬНІ ПАРАМЕТРИ ТА ПРОПУСКНА ЗДАТНІСТЬ</w:t>
      </w:r>
    </w:p>
    <w:p>
      <w:r>
        <w:t>Даний архітектурний зріз описує підсистему Analytical Analytics Node. Компонент розроблено з урахуванням асинхронного виконання операцій та прямого мапінгу даних через Model Context Protocol (MCP). Нижче наведено ліміти відмовостійкості: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Код метрики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системи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Цільове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Максимальна інтенсивність транзакцій потоку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850 TPS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METRIC-02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Глибина збереження журналів логування (ротація)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6FA"/>
          </w:tcPr>
          <w:p>
            <w:r>
              <w:t>90 календарних днів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METRIC-03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Максимальне вікно очікування відповіді шлюзу (Timeout)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450 мс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ВАЖЛИВО ДЛЯ ТЕСТУВАННЯ: </w:t>
            </w:r>
            <w:r>
              <w:rPr>
                <w:rFonts w:ascii="Arial" w:hAnsi="Arial"/>
                <w:i/>
                <w:color w:val="404040"/>
                <w:sz w:val="20"/>
              </w:rPr>
              <w:t>Перевищення ліміту в 850 TPS призведе до примусової активації механізму Backpressure та скидання непріоритетних пакетів черги.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CONFIDENTIAL // MCP SPECIFICATION v2.4 // ID: MCP-2026-X3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