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color w:val="2B579A"/>
          <w:sz w:val="30"/>
        </w:rPr>
        <w:t>АРХІТЕКТУРНИЙ ПРОФІЛЬ КЛАС ТРІЙКИ: MESSAGE BROKER HUB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rPr>
                <w:b/>
              </w:rPr>
              <w:t>Реєстраційний номер токена: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t>SPEC-V2-02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rPr>
                <w:b/>
              </w:rPr>
              <w:t>Тип сховища індексу: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t>Apache Kafka Log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rPr>
                <w:b/>
              </w:rPr>
              <w:t>Час синхронізації метаданих: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t>02.06.2026 16:10 EEST</w:t>
            </w:r>
          </w:p>
        </w:tc>
      </w:tr>
    </w:tbl>
    <w:p>
      <w:pPr>
        <w:spacing w:before="280"/>
      </w:pPr>
      <w:r>
        <w:rPr>
          <w:b/>
          <w:color w:val="2B579A"/>
          <w:sz w:val="25"/>
        </w:rPr>
        <w:t>1. КРИТИЧНІ ПОКАЗНИКИ ТА ЛІМІТИ СИНХРОНІЗАЦІЇ</w:t>
      </w:r>
    </w:p>
    <w:p>
      <w:r>
        <w:t>Дана специфікація є частиною тестового набору для перевірки інструментів ізоляції динамічного контенту. Компонент Message Broker Hub використовує протокол наскрізного мапінгу: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Метрика</w:t>
            </w:r>
          </w:p>
        </w:tc>
        <w:tc>
          <w:tcPr>
            <w:tcW w:type="dxa" w:w="2880"/>
            <w:shd w:fill="2B579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Параметр вузла</w:t>
            </w:r>
          </w:p>
        </w:tc>
        <w:tc>
          <w:tcPr>
            <w:tcW w:type="dxa" w:w="2880"/>
            <w:shd w:fill="2B579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Фіксоване значення</w:t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X-LIMIT-01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Пропускна здатність процесингу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35 000 Кб/сек</w:t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shd w:fill="F2F5F9"/>
          </w:tcPr>
          <w:p>
            <w:r>
              <w:t>X-LIMIT-02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shd w:fill="F2F5F9"/>
          </w:tcPr>
          <w:p>
            <w:r>
              <w:t>Глибина збереження часових зрізів (TTL)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shd w:fill="F2F5F9"/>
          </w:tcPr>
          <w:p>
            <w:r>
              <w:t>168 годин</w:t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X-LIMIT-03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Гарантоване вікно відповіді репліки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120 мс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8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color="1F4E79"/>
              <w:top w:val="none"/>
              <w:bottom w:val="none"/>
              <w:right w:val="none"/>
            </w:tcBorders>
          </w:tcPr>
          <w:p>
            <w:r>
              <w:rPr>
                <w:rFonts w:ascii="Arial" w:hAnsi="Arial"/>
                <w:b/>
                <w:color w:val="1F4E79"/>
                <w:sz w:val="20"/>
              </w:rPr>
              <w:t xml:space="preserve">ТЕСТОВА ВКАЗІВКА: </w:t>
            </w:r>
            <w:r>
              <w:rPr>
                <w:rFonts w:ascii="Arial" w:hAnsi="Arial"/>
                <w:i/>
                <w:color w:val="404040"/>
                <w:sz w:val="20"/>
              </w:rPr>
              <w:t>При тестуванні парсера переконайтеся, що параметр 35 000 Кб/сек визначено як змінна плейсхолдера, а не статичний текст каркаса.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07070"/>
        <w:sz w:val="17"/>
      </w:rPr>
      <w:t>CONFIDENTIAL // DATA MATRIX SPEC v3.0 // ID: SPEC-V2-02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