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40BB" w14:textId="77777777" w:rsidR="0025407F" w:rsidRPr="0025407F" w:rsidRDefault="0025407F" w:rsidP="0025407F">
      <w:pPr>
        <w:rPr>
          <w:lang w:val="sr-Latn-RS"/>
        </w:rPr>
      </w:pPr>
      <w:r w:rsidRPr="0025407F">
        <w:rPr>
          <w:lang w:val="sr-Latn-RS"/>
        </w:rPr>
        <w:t>Strategic Partnership and Development Meeting with Donghu Hotel Group</w:t>
      </w:r>
    </w:p>
    <w:p w14:paraId="44F01A14" w14:textId="77777777" w:rsidR="0025407F" w:rsidRPr="0025407F" w:rsidRDefault="0025407F" w:rsidP="0025407F">
      <w:pPr>
        <w:rPr>
          <w:lang w:val="sr-Latn-RS"/>
        </w:rPr>
      </w:pPr>
      <w:r w:rsidRPr="0025407F">
        <w:rPr>
          <w:lang w:val="sr-Latn-RS"/>
        </w:rPr>
        <w:t>Executive Summit: Representatives recently held a high-level strategic meeting with the Shanghai Donghu Hotel Group to discuss the expansion of their luxury hospitality footprint and the integration of cultural heritage with modern tourism.</w:t>
      </w:r>
    </w:p>
    <w:p w14:paraId="4A254A6E" w14:textId="77777777" w:rsidR="0025407F" w:rsidRPr="0025407F" w:rsidRDefault="0025407F" w:rsidP="0025407F">
      <w:pPr>
        <w:rPr>
          <w:lang w:val="sr-Latn-RS"/>
        </w:rPr>
      </w:pPr>
      <w:r w:rsidRPr="0025407F">
        <w:rPr>
          <w:lang w:val="sr-Latn-RS"/>
        </w:rPr>
        <w:t>Expansion Milestones: The discussions highlighted the group's leadership in the regional market, particularly as Shanghai is projected to lead global hotel room additions in 2026 with over 7,400 new openings.</w:t>
      </w:r>
    </w:p>
    <w:p w14:paraId="13A53DA6" w14:textId="77777777" w:rsidR="0025407F" w:rsidRPr="0025407F" w:rsidRDefault="0025407F" w:rsidP="0025407F">
      <w:pPr>
        <w:rPr>
          <w:lang w:val="sr-Latn-RS"/>
        </w:rPr>
      </w:pPr>
      <w:r w:rsidRPr="0025407F">
        <w:rPr>
          <w:lang w:val="sr-Latn-RS"/>
        </w:rPr>
        <w:t>Innovation Initiatives: Both parties reviewed recent advancements in digital transformation and service upgrading, following the group's commitment to "upgrading to the core" as a driver of market value.</w:t>
      </w:r>
    </w:p>
    <w:p w14:paraId="14F5010F" w14:textId="77777777" w:rsidR="00725113" w:rsidRDefault="00725113"/>
    <w:sectPr w:rsidR="00725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7F"/>
    <w:rsid w:val="0025407F"/>
    <w:rsid w:val="00725113"/>
    <w:rsid w:val="00760D3B"/>
    <w:rsid w:val="00D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264E"/>
  <w15:chartTrackingRefBased/>
  <w15:docId w15:val="{77C7F45C-5919-47BA-ADA5-DF44E4A9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 Nikolic</dc:creator>
  <cp:keywords/>
  <dc:description/>
  <cp:lastModifiedBy>Dragana Nikolic</cp:lastModifiedBy>
  <cp:revision>1</cp:revision>
  <dcterms:created xsi:type="dcterms:W3CDTF">2026-03-20T12:08:00Z</dcterms:created>
  <dcterms:modified xsi:type="dcterms:W3CDTF">2026-03-20T12:08:00Z</dcterms:modified>
</cp:coreProperties>
</file>