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Payments architecture overview</w:t>
      </w:r>
    </w:p>
    <w:p>
      <w:pPr>
        <w:pStyle w:val="Heading2"/>
      </w:pPr>
      <w:r>
        <w:t>Request path</w:t>
      </w:r>
    </w:p>
    <w:p>
      <w:r>
        <w:t>checkout-api receives every card payment. It calls fraud-scoring synchronously to get a risk score, then writes the payment to payments-db, a PostgreSQL database.</w:t>
      </w:r>
    </w:p>
    <w:p>
      <w:pPr>
        <w:pStyle w:val="Heading2"/>
      </w:pPr>
      <w:r>
        <w:t>Events</w:t>
      </w:r>
    </w:p>
    <w:p>
      <w:r>
        <w:t>After a payment is authorized, checkout-api publishes a PaymentAuthorized event to the payments.events queue. ledger-worker consumes these events and writes ledger entries. notification-service consumes the same events and emails receipts.</w:t>
      </w:r>
    </w:p>
    <w:p>
      <w:pPr>
        <w:pStyle w:val="Heading2"/>
      </w:pPr>
      <w:r>
        <w:t>Service owners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checkout-api</w:t>
            </w:r>
          </w:p>
        </w:tc>
        <w:tc>
          <w:tcPr>
            <w:tcW w:type="dxa" w:w="4320"/>
          </w:tcPr>
          <w:p>
            <w:r>
              <w:t>Payments team</w:t>
            </w:r>
          </w:p>
        </w:tc>
      </w:tr>
      <w:tr>
        <w:tc>
          <w:tcPr>
            <w:tcW w:type="dxa" w:w="4320"/>
          </w:tcPr>
          <w:p>
            <w:r>
              <w:t>fraud-scoring</w:t>
            </w:r>
          </w:p>
        </w:tc>
        <w:tc>
          <w:tcPr>
            <w:tcW w:type="dxa" w:w="4320"/>
          </w:tcPr>
          <w:p>
            <w:r>
              <w:t>Risk team</w:t>
            </w:r>
          </w:p>
        </w:tc>
      </w:tr>
      <w:tr>
        <w:tc>
          <w:tcPr>
            <w:tcW w:type="dxa" w:w="4320"/>
          </w:tcPr>
          <w:p>
            <w:r>
              <w:t>payments-db</w:t>
            </w:r>
          </w:p>
        </w:tc>
        <w:tc>
          <w:tcPr>
            <w:tcW w:type="dxa" w:w="4320"/>
          </w:tcPr>
          <w:p>
            <w:r>
              <w:t>Platform Data team</w:t>
            </w:r>
          </w:p>
        </w:tc>
      </w:tr>
      <w:tr>
        <w:tc>
          <w:tcPr>
            <w:tcW w:type="dxa" w:w="4320"/>
          </w:tcPr>
          <w:p>
            <w:r>
              <w:t>ledger-worker</w:t>
            </w:r>
          </w:p>
        </w:tc>
        <w:tc>
          <w:tcPr>
            <w:tcW w:type="dxa" w:w="4320"/>
          </w:tcPr>
          <w:p>
            <w:r>
              <w:t>Payments team</w:t>
            </w:r>
          </w:p>
        </w:tc>
      </w:tr>
      <w:tr>
        <w:tc>
          <w:tcPr>
            <w:tcW w:type="dxa" w:w="4320"/>
          </w:tcPr>
          <w:p>
            <w:r>
              <w:t>notification-service</w:t>
            </w:r>
          </w:p>
        </w:tc>
        <w:tc>
          <w:tcPr>
            <w:tcW w:type="dxa" w:w="4320"/>
          </w:tcPr>
          <w:p>
            <w:r>
              <w:t>Growth team</w:t>
            </w:r>
          </w:p>
        </w:tc>
      </w:tr>
      <w:tr>
        <w:tc>
          <w:tcPr>
            <w:tcW w:type="dxa" w:w="4320"/>
          </w:tcPr>
          <w:p>
            <w:r>
              <w:t>auth-service</w:t>
            </w:r>
          </w:p>
        </w:tc>
        <w:tc>
          <w:tcPr>
            <w:tcW w:type="dxa" w:w="4320"/>
          </w:tcPr>
          <w:p>
            <w:r>
              <w:t>Identity team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Payments architecture overview</dc:title>
  <dc:subject/>
  <dc:creator>Architecture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