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Default Extension="xml" ContentType="application/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customXml/itemProps1.xml" ContentType="application/vnd.openxmlformats-officedocument.customXmlProperties+xml"/>
  <Override PartName="/word/charts/chart5.xml" ContentType="application/vnd.openxmlformats-officedocument.drawingml.chart+xml"/>
  <Override PartName="/word/header7.xml" ContentType="application/vnd.openxmlformats-officedocument.wordprocessingml.header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charts/chart2.xml" ContentType="application/vnd.openxmlformats-officedocument.drawingml.chart+xml"/>
  <Override PartName="/word/header4.xml" ContentType="application/vnd.openxmlformats-officedocument.wordprocessingml.header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charts/chart4.xml" ContentType="application/vnd.openxmlformats-officedocument.drawingml.chart+xml"/>
  <Override PartName="/word/header6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B295D" w:rsidRPr="00D62D90" w:rsidRDefault="000A4274" w:rsidP="00661088">
      <w:pPr>
        <w:pStyle w:val="KFPHeading1"/>
      </w:pPr>
      <w:r>
        <w:t>Title of Article Here</w:t>
      </w:r>
    </w:p>
    <w:p w:rsidR="00B16401" w:rsidRPr="00D62D90" w:rsidRDefault="000A4274" w:rsidP="00B16401">
      <w:pPr>
        <w:pStyle w:val="KFPSubheading"/>
      </w:pPr>
      <w:r>
        <w:t>Author Name</w:t>
      </w:r>
    </w:p>
    <w:p w:rsidR="00895583" w:rsidRPr="00D62D90" w:rsidRDefault="00895583" w:rsidP="00895583">
      <w:pPr>
        <w:pStyle w:val="KFPSubSubHeading"/>
      </w:pPr>
      <w:r w:rsidRPr="00D62D90">
        <w:t xml:space="preserve">Class </w:t>
      </w:r>
      <w:r w:rsidR="000A4274">
        <w:t>[number]</w:t>
      </w:r>
    </w:p>
    <w:p w:rsidR="00895583" w:rsidRDefault="00895583" w:rsidP="00B16401">
      <w:pPr>
        <w:pStyle w:val="KFPSubheading"/>
      </w:pPr>
    </w:p>
    <w:p w:rsidR="00661088" w:rsidRDefault="00661088" w:rsidP="00B16401">
      <w:pPr>
        <w:pStyle w:val="KFPSubheading"/>
        <w:sectPr w:rsidR="00661088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080" w:right="1152" w:bottom="1080" w:left="1440" w:header="504" w:footer="648" w:gutter="0"/>
          <w:pgNumType w:fmt="lowerRoman" w:start="3"/>
          <w:docGrid w:linePitch="360"/>
        </w:sectPr>
      </w:pPr>
    </w:p>
    <w:p w:rsidR="009154F4" w:rsidRPr="00170886" w:rsidRDefault="000A4274" w:rsidP="00EB5D12">
      <w:pPr>
        <w:pStyle w:val="KFPParagraph1"/>
        <w:spacing w:line="277" w:lineRule="auto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0A4274" w:rsidRPr="00170886" w:rsidRDefault="000A4274" w:rsidP="0062512E">
      <w:pPr>
        <w:pStyle w:val="KFPParagraph2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0A4274" w:rsidRPr="00170886" w:rsidRDefault="000A4274" w:rsidP="0062512E">
      <w:pPr>
        <w:pStyle w:val="KFPParagraph2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62512E" w:rsidRPr="00170886" w:rsidRDefault="000D65CE" w:rsidP="0062512E">
      <w:pPr>
        <w:pStyle w:val="KFPParagraph2"/>
      </w:pPr>
      <w:r w:rsidRPr="008F5EE3">
        <w:t xml:space="preserve"> </w:t>
      </w:r>
      <w:proofErr w:type="gramStart"/>
      <w:r w:rsidR="0062512E">
        <w:t>Text of the article here.</w:t>
      </w:r>
      <w:proofErr w:type="gramEnd"/>
      <w:r w:rsidR="0062512E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  <w:r w:rsidR="0062512E" w:rsidRPr="000A4274">
        <w:t xml:space="preserve"> </w:t>
      </w:r>
      <w:proofErr w:type="gramStart"/>
      <w:r w:rsidR="0062512E">
        <w:t>Text of the article here.</w:t>
      </w:r>
      <w:proofErr w:type="gramEnd"/>
    </w:p>
    <w:p w:rsidR="0062512E" w:rsidRPr="00170886" w:rsidRDefault="0062512E" w:rsidP="0062512E">
      <w:pPr>
        <w:pStyle w:val="KFPParagraph2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62512E" w:rsidRPr="00170886" w:rsidRDefault="0062512E" w:rsidP="0062512E">
      <w:pPr>
        <w:pStyle w:val="KFPParagraph2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62512E" w:rsidRPr="00170886" w:rsidRDefault="0062512E" w:rsidP="0062512E">
      <w:pPr>
        <w:pStyle w:val="KFPParagraph2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62512E" w:rsidRPr="00170886" w:rsidRDefault="0062512E" w:rsidP="0062512E">
      <w:pPr>
        <w:pStyle w:val="KFPParagraph2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62512E" w:rsidRPr="00170886" w:rsidRDefault="0062512E" w:rsidP="0062512E">
      <w:pPr>
        <w:pStyle w:val="KFPParagraph2"/>
      </w:pPr>
      <w:proofErr w:type="gramStart"/>
      <w:r>
        <w:t>Text of the article here.</w:t>
      </w:r>
      <w:proofErr w:type="gramEnd"/>
      <w:r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  <w:r w:rsidRPr="000A4274">
        <w:t xml:space="preserve"> </w:t>
      </w:r>
      <w:proofErr w:type="gramStart"/>
      <w:r>
        <w:t>Text of the article here.</w:t>
      </w:r>
      <w:proofErr w:type="gramEnd"/>
    </w:p>
    <w:p w:rsidR="000A4274" w:rsidRDefault="000A4274" w:rsidP="004970D7">
      <w:pPr>
        <w:pStyle w:val="KFPParagraph2"/>
        <w:spacing w:line="274" w:lineRule="auto"/>
      </w:pPr>
    </w:p>
    <w:p w:rsidR="000A4274" w:rsidRDefault="000A4274">
      <w:pPr>
        <w:spacing w:line="240" w:lineRule="auto"/>
        <w:rPr>
          <w:rFonts w:ascii="Trebuchet MS" w:hAnsi="Trebuchet MS"/>
          <w:sz w:val="20"/>
        </w:rPr>
      </w:pPr>
    </w:p>
    <w:p w:rsidR="000D65CE" w:rsidRDefault="000D65CE" w:rsidP="004970D7">
      <w:pPr>
        <w:pStyle w:val="KFPParagraph2"/>
        <w:spacing w:line="274" w:lineRule="auto"/>
      </w:pPr>
    </w:p>
    <w:p w:rsidR="00BE25B4" w:rsidRDefault="003423F8" w:rsidP="00BE25B4">
      <w:pPr>
        <w:pStyle w:val="KFPParagraph1"/>
      </w:pPr>
      <w:r>
        <w:rPr>
          <w:noProof/>
        </w:rPr>
      </w: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306" o:spid="_x0000_s1037" type="#_x0000_t202" style="width:482.7pt;height:3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" filled="f" stroked="f">
            <v:textbox inset=",7.2pt,,7.2pt">
              <w:txbxContent>
                <w:p w:rsidR="00262869" w:rsidRDefault="00262869" w:rsidP="00934EA9">
                  <w:pPr>
                    <w:pStyle w:val="KFPFigureCaption"/>
                  </w:pPr>
                  <w:r w:rsidRPr="00952372">
                    <w:rPr>
                      <w:noProof/>
                    </w:rPr>
                    <w:drawing>
                      <wp:inline distT="0" distB="0" distL="0" distR="0">
                        <wp:extent cx="5422006" cy="4314423"/>
                        <wp:effectExtent l="0" t="0" r="0" b="0"/>
                        <wp:docPr id="8" name="Chart 8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:inline>
                    </w:drawing>
                  </w:r>
                </w:p>
                <w:p w:rsidR="00262869" w:rsidRDefault="00262869" w:rsidP="00934EA9">
                  <w:pPr>
                    <w:pStyle w:val="KFPFigureCaption"/>
                  </w:pPr>
                  <w:r w:rsidRPr="00C00E27">
                    <w:t>Figure 2</w:t>
                  </w:r>
                  <w:r>
                    <w:t>.</w:t>
                  </w:r>
                  <w:r w:rsidRPr="00C00E27">
                    <w:t xml:space="preserve"> </w:t>
                  </w:r>
                  <w:proofErr w:type="gramStart"/>
                  <w:r w:rsidRPr="00C00E27">
                    <w:t>Chinese V</w:t>
                  </w:r>
                  <w:r>
                    <w:t xml:space="preserve">enture </w:t>
                  </w:r>
                  <w:r w:rsidRPr="00C00E27">
                    <w:t>C</w:t>
                  </w:r>
                  <w:r>
                    <w:t>apital</w:t>
                  </w:r>
                  <w:r w:rsidRPr="00C00E27">
                    <w:t xml:space="preserve"> Investments </w:t>
                  </w:r>
                  <w:r>
                    <w:t>(</w:t>
                  </w:r>
                  <w:proofErr w:type="spellStart"/>
                  <w:r>
                    <w:t>US$m</w:t>
                  </w:r>
                  <w:proofErr w:type="spellEnd"/>
                  <w:r>
                    <w:t xml:space="preserve">) </w:t>
                  </w:r>
                  <w:r w:rsidRPr="00C00E27">
                    <w:t xml:space="preserve">by </w:t>
                  </w:r>
                  <w:r>
                    <w:t>S</w:t>
                  </w:r>
                  <w:r w:rsidRPr="00C00E27">
                    <w:t>ector in 2010</w:t>
                  </w:r>
                  <w:r w:rsidRPr="00832ED4">
                    <w:t>.</w:t>
                  </w:r>
                  <w:proofErr w:type="gramEnd"/>
                  <w:r w:rsidRPr="00E52EA5">
                    <w:rPr>
                      <w:rStyle w:val="FootnoteReference"/>
                      <w:b w:val="0"/>
                      <w:color w:val="0066CC"/>
                    </w:rPr>
                    <w:footnoteRef/>
                  </w:r>
                  <w:r w:rsidR="00E430C8">
                    <w:rPr>
                      <w:rFonts w:ascii="Trebuchet MS" w:hAnsi="Trebuchet MS"/>
                      <w:b w:val="0"/>
                      <w:position w:val="6"/>
                      <w:sz w:val="14"/>
                    </w:rPr>
                    <w:t>6</w:t>
                  </w:r>
                  <w: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0D65CE" w:rsidRDefault="005639FC" w:rsidP="005639FC">
      <w:pPr>
        <w:pStyle w:val="KFPParagraph1"/>
        <w:sectPr w:rsidR="000D65CE">
          <w:headerReference w:type="even" r:id="rId13"/>
          <w:footerReference w:type="even" r:id="rId14"/>
          <w:type w:val="continuous"/>
          <w:pgSz w:w="12240" w:h="15840"/>
          <w:pgMar w:top="1080" w:right="1152" w:bottom="1080" w:left="1440" w:header="504" w:footer="648" w:gutter="0"/>
          <w:cols w:num="2"/>
          <w:docGrid w:linePitch="360"/>
        </w:sectPr>
      </w:pPr>
      <w:r>
        <w:br w:type="column"/>
      </w:r>
    </w:p>
    <w:p w:rsidR="00952372" w:rsidRDefault="005A16DB" w:rsidP="00952372">
      <w:pPr>
        <w:pStyle w:val="KFPFigureCaption"/>
        <w:rPr>
          <w:b w:val="0"/>
          <w:color w:val="000090"/>
        </w:rPr>
      </w:pPr>
      <w:r>
        <w:rPr>
          <w:noProof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2834640" cy="2451100"/>
            <wp:effectExtent l="25400" t="0" r="10160" b="0"/>
            <wp:wrapNone/>
            <wp:docPr id="87" name="Chart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952372" w:rsidRDefault="00952372" w:rsidP="00952372">
      <w:pPr>
        <w:pStyle w:val="KFPFigureCaption"/>
        <w:rPr>
          <w:b w:val="0"/>
          <w:color w:val="000090"/>
        </w:rPr>
      </w:pPr>
    </w:p>
    <w:p w:rsidR="00211071" w:rsidRDefault="00211071" w:rsidP="00952372">
      <w:pPr>
        <w:pStyle w:val="KFPFigureCaption"/>
      </w:pPr>
    </w:p>
    <w:p w:rsidR="00952372" w:rsidRPr="004B4CD8" w:rsidRDefault="00952372" w:rsidP="00952372">
      <w:pPr>
        <w:pStyle w:val="KFPFigureCaption"/>
      </w:pPr>
      <w:r w:rsidRPr="00C00E27">
        <w:t>Figure 3</w:t>
      </w:r>
      <w:r>
        <w:t>.</w:t>
      </w:r>
      <w:r w:rsidR="00E430C8" w:rsidRPr="00E430C8">
        <w:rPr>
          <w:rStyle w:val="FootnoteReference"/>
          <w:color w:val="FFFFFF" w:themeColor="background1"/>
        </w:rPr>
        <w:footnoteReference w:customMarkFollows="1" w:id="2"/>
        <w:t>16</w:t>
      </w:r>
      <w:proofErr w:type="gramStart"/>
      <w:r w:rsidRPr="00C00E27">
        <w:t>Chinese Venture Capital Investment</w:t>
      </w:r>
      <w:r w:rsidR="00000D70">
        <w:t xml:space="preserve">s </w:t>
      </w:r>
      <w:r w:rsidRPr="00C00E27">
        <w:t>by Stage in 2010</w:t>
      </w:r>
      <w:r>
        <w:t>.</w:t>
      </w:r>
      <w:proofErr w:type="gramEnd"/>
      <w:r w:rsidR="00E430C8" w:rsidRPr="00E430C8">
        <w:rPr>
          <w:rStyle w:val="FootnoteReference"/>
          <w:color w:val="0066CC"/>
        </w:rPr>
        <w:footnoteReference w:customMarkFollows="1" w:id="3"/>
        <w:t>17</w:t>
      </w:r>
      <w:r w:rsidRPr="00E430C8">
        <w:t xml:space="preserve"> </w:t>
      </w:r>
    </w:p>
    <w:p w:rsidR="00952372" w:rsidRDefault="00952372" w:rsidP="00952372">
      <w:pPr>
        <w:pStyle w:val="KFPParagraph1"/>
        <w:rPr>
          <w:b/>
          <w:color w:val="000090"/>
        </w:rPr>
      </w:pPr>
    </w:p>
    <w:p w:rsidR="000A4274" w:rsidRPr="00E1110C" w:rsidRDefault="000A4274" w:rsidP="000A4274">
      <w:pPr>
        <w:pStyle w:val="KFPParagraph1"/>
      </w:pPr>
    </w:p>
    <w:p w:rsidR="0053568E" w:rsidRDefault="0053568E" w:rsidP="00D21A6E">
      <w:pPr>
        <w:pStyle w:val="KFPParagraph1"/>
      </w:pPr>
    </w:p>
    <w:p w:rsidR="000A4274" w:rsidRPr="00E1110C" w:rsidRDefault="003423F8" w:rsidP="000A4274">
      <w:pPr>
        <w:pStyle w:val="KFPParagraph1"/>
      </w:pPr>
      <w:r>
        <w:rPr>
          <w:noProof/>
        </w:rPr>
        <w:pict>
          <v:shape id="Text Box 236" o:spid="_x0000_s1038" type="#_x0000_t202" style="position:absolute;margin-left:-.9pt;margin-top:-3.55pt;width:484.4pt;height:325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" filled="f" stroked="f">
            <v:textbox style="mso-next-textbox:#Text Box 236" inset="0,0,0,0">
              <w:txbxContent>
                <w:p w:rsidR="00262869" w:rsidRDefault="00262869" w:rsidP="0039746D">
                  <w:pPr>
                    <w:pStyle w:val="KFPFigureCaption"/>
                  </w:pPr>
                </w:p>
                <w:tbl>
                  <w:tblPr>
                    <w:tblW w:w="9733" w:type="dxa"/>
                    <w:tblInd w:w="1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33"/>
                    <w:gridCol w:w="1260"/>
                    <w:gridCol w:w="900"/>
                    <w:gridCol w:w="5040"/>
                  </w:tblGrid>
                  <w:tr w:rsidR="00262869" w:rsidRPr="003B1437">
                    <w:trPr>
                      <w:trHeight w:val="432"/>
                    </w:trPr>
                    <w:tc>
                      <w:tcPr>
                        <w:tcW w:w="2533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  <w:vAlign w:val="bottom"/>
                      </w:tcPr>
                      <w:p w:rsidR="00262869" w:rsidRPr="003B1437" w:rsidRDefault="00262869" w:rsidP="0023499A">
                        <w:pPr>
                          <w:spacing w:after="0" w:line="240" w:lineRule="auto"/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Organization type</w:t>
                        </w:r>
                      </w:p>
                    </w:tc>
                    <w:tc>
                      <w:tcPr>
                        <w:tcW w:w="1260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  <w:vAlign w:val="bottom"/>
                      </w:tcPr>
                      <w:p w:rsidR="00262869" w:rsidRPr="003B1437" w:rsidRDefault="00262869" w:rsidP="000E6C7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No. </w:t>
                        </w:r>
                        <w:proofErr w:type="gramStart"/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of</w:t>
                        </w:r>
                        <w:proofErr w:type="gramEnd"/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members</w:t>
                        </w:r>
                      </w:p>
                    </w:tc>
                    <w:tc>
                      <w:tcPr>
                        <w:tcW w:w="900" w:type="dxa"/>
                        <w:shd w:val="clear" w:color="auto" w:fill="C8F1FF"/>
                        <w:vAlign w:val="bottom"/>
                      </w:tcPr>
                      <w:p w:rsidR="00262869" w:rsidRDefault="00262869" w:rsidP="000E6C74">
                        <w:pPr>
                          <w:spacing w:after="0" w:line="240" w:lineRule="auto"/>
                          <w:jc w:val="center"/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Percent </w:t>
                        </w:r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br/>
                          <w:t>of SIG</w:t>
                        </w:r>
                      </w:p>
                    </w:tc>
                    <w:tc>
                      <w:tcPr>
                        <w:tcW w:w="5040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  <w:vAlign w:val="bottom"/>
                      </w:tcPr>
                      <w:p w:rsidR="00262869" w:rsidRPr="003B1437" w:rsidRDefault="00262869" w:rsidP="000E6C7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Organizations </w:t>
                        </w:r>
                        <w:r>
                          <w:rPr>
                            <w:rFonts w:ascii="Verdana" w:hAnsi="Verdana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br/>
                          <w:t>represented in the SIG</w:t>
                        </w:r>
                      </w:p>
                    </w:tc>
                  </w:tr>
                  <w:tr w:rsidR="00262869" w:rsidRPr="003B1437">
                    <w:trPr>
                      <w:trHeight w:val="432"/>
                    </w:trPr>
                    <w:tc>
                      <w:tcPr>
                        <w:tcW w:w="2533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C24AC3" w:rsidRDefault="00262869" w:rsidP="00FF4EF0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24AC3">
                          <w:rPr>
                            <w:rFonts w:ascii="Verdana" w:hAnsi="Verdana" w:cs="Arial"/>
                            <w:bCs/>
                            <w:kern w:val="24"/>
                            <w:sz w:val="18"/>
                            <w:szCs w:val="18"/>
                          </w:rPr>
                          <w:t>Government agencies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432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900" w:type="dxa"/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288"/>
                          <w:jc w:val="right"/>
                          <w:rPr>
                            <w:rFonts w:ascii="Verdana" w:hAnsi="Verdana" w:cs="Arial"/>
                            <w:bCs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kern w:val="24"/>
                            <w:sz w:val="18"/>
                            <w:szCs w:val="18"/>
                          </w:rPr>
                          <w:t>7%</w:t>
                        </w:r>
                      </w:p>
                    </w:tc>
                    <w:tc>
                      <w:tcPr>
                        <w:tcW w:w="5040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kern w:val="24"/>
                            <w:sz w:val="18"/>
                            <w:szCs w:val="18"/>
                          </w:rPr>
                          <w:t>Finance Wales, INCJ, NAFIN, Prime Minister’s Office of Singapore</w:t>
                        </w:r>
                      </w:p>
                    </w:tc>
                  </w:tr>
                  <w:tr w:rsidR="00262869" w:rsidRPr="003B1437">
                    <w:trPr>
                      <w:trHeight w:val="432"/>
                    </w:trPr>
                    <w:tc>
                      <w:tcPr>
                        <w:tcW w:w="2533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C24AC3" w:rsidRDefault="00262869" w:rsidP="00FF4EF0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24AC3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Incubators/</w:t>
                        </w:r>
                        <w:r w:rsidRPr="00C24AC3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br/>
                          <w:t>expert advisors</w:t>
                        </w:r>
                      </w:p>
                    </w:tc>
                    <w:tc>
                      <w:tcPr>
                        <w:tcW w:w="1260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432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900" w:type="dxa"/>
                        <w:shd w:val="clear" w:color="auto" w:fill="C8F4FF"/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288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9%</w:t>
                        </w:r>
                      </w:p>
                    </w:tc>
                    <w:tc>
                      <w:tcPr>
                        <w:tcW w:w="5040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0E6C74" w:rsidRDefault="00262869" w:rsidP="00FF4EF0">
                        <w:pPr>
                          <w:spacing w:after="0" w:line="240" w:lineRule="auto"/>
                          <w:rPr>
                            <w:rFonts w:ascii="Verdana" w:hAnsi="Verdana" w:cs="Arial"/>
                            <w:sz w:val="14"/>
                            <w:szCs w:val="18"/>
                          </w:rPr>
                        </w:pPr>
                        <w:r w:rsidRPr="0039746D">
                          <w:rPr>
                            <w:rFonts w:ascii="Verdana" w:hAnsi="Verdana" w:cs="TimesNewRomanPSMT"/>
                            <w:sz w:val="18"/>
                          </w:rPr>
                          <w:t xml:space="preserve">DS Inc., </w:t>
                        </w:r>
                        <w:proofErr w:type="spellStart"/>
                        <w:r w:rsidRPr="0039746D">
                          <w:rPr>
                            <w:rFonts w:ascii="Verdana" w:hAnsi="Verdana" w:cs="TimesNewRomanPSMT"/>
                            <w:sz w:val="18"/>
                          </w:rPr>
                          <w:t>Fudan</w:t>
                        </w:r>
                        <w:proofErr w:type="spellEnd"/>
                        <w:r w:rsidRPr="0039746D">
                          <w:rPr>
                            <w:rFonts w:ascii="Verdana" w:hAnsi="Verdana" w:cs="TimesNewRomanPSMT"/>
                            <w:sz w:val="18"/>
                          </w:rPr>
                          <w:t xml:space="preserve"> University, Institute for Venture Design, T2 Venture Capital</w:t>
                        </w:r>
                        <w:r w:rsidRPr="0039746D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4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262869" w:rsidRPr="003B1437">
                    <w:trPr>
                      <w:trHeight w:val="432"/>
                    </w:trPr>
                    <w:tc>
                      <w:tcPr>
                        <w:tcW w:w="2533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C24AC3" w:rsidRDefault="00262869" w:rsidP="00FF4EF0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24AC3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Investors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432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900" w:type="dxa"/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288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18.5%</w:t>
                        </w:r>
                      </w:p>
                    </w:tc>
                    <w:tc>
                      <w:tcPr>
                        <w:tcW w:w="5040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39746D" w:rsidRDefault="00262869" w:rsidP="000559B4">
                        <w:pPr>
                          <w:spacing w:after="0" w:line="240" w:lineRule="auto"/>
                          <w:rPr>
                            <w:rFonts w:ascii="Verdana" w:hAnsi="Verdana" w:cs="Arial"/>
                            <w:sz w:val="18"/>
                            <w:szCs w:val="18"/>
                          </w:rPr>
                        </w:pPr>
                        <w:r w:rsidRPr="0039746D">
                          <w:rPr>
                            <w:rFonts w:ascii="Verdana" w:hAnsi="Verdana" w:cs="TimesNewRomanPSMT"/>
                            <w:sz w:val="18"/>
                          </w:rPr>
                          <w:t xml:space="preserve">Acumen Fund, Grey Ghost Ventures, IGNIA Partners, Orient Global, Physic Ventures, </w:t>
                        </w:r>
                        <w:r>
                          <w:rPr>
                            <w:rFonts w:ascii="Verdana" w:hAnsi="Verdana" w:cs="TimesNewRomanPSMT"/>
                            <w:sz w:val="18"/>
                          </w:rPr>
                          <w:br/>
                        </w:r>
                        <w:proofErr w:type="spellStart"/>
                        <w:r w:rsidRPr="0039746D">
                          <w:rPr>
                            <w:rFonts w:ascii="Verdana" w:hAnsi="Verdana" w:cs="TimesNewRomanPSMT"/>
                            <w:sz w:val="18"/>
                          </w:rPr>
                          <w:t>Omidyar</w:t>
                        </w:r>
                        <w:proofErr w:type="spellEnd"/>
                        <w:r w:rsidRPr="0039746D">
                          <w:rPr>
                            <w:rFonts w:ascii="Verdana" w:hAnsi="Verdana" w:cs="TimesNewRomanPSMT"/>
                            <w:sz w:val="18"/>
                          </w:rPr>
                          <w:t xml:space="preserve"> Network</w:t>
                        </w:r>
                        <w:r>
                          <w:rPr>
                            <w:rFonts w:ascii="Verdana" w:hAnsi="Verdana" w:cs="TimesNewRomanPSMT"/>
                            <w:sz w:val="18"/>
                            <w:vertAlign w:val="superscript"/>
                          </w:rPr>
                          <w:t>4</w:t>
                        </w:r>
                        <w:r w:rsidRPr="0039746D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262869" w:rsidRPr="003B1437">
                    <w:trPr>
                      <w:trHeight w:val="432"/>
                    </w:trPr>
                    <w:tc>
                      <w:tcPr>
                        <w:tcW w:w="2533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C24AC3" w:rsidRDefault="00262869" w:rsidP="00FF4EF0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24AC3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Multilaterals</w:t>
                        </w:r>
                      </w:p>
                    </w:tc>
                    <w:tc>
                      <w:tcPr>
                        <w:tcW w:w="1260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432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00" w:type="dxa"/>
                        <w:shd w:val="clear" w:color="auto" w:fill="C8F1FF"/>
                      </w:tcPr>
                      <w:p w:rsidR="00262869" w:rsidRPr="003B1437" w:rsidRDefault="00262869" w:rsidP="00FF4EF0">
                        <w:pPr>
                          <w:spacing w:after="0" w:line="240" w:lineRule="auto"/>
                          <w:ind w:right="288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1%</w:t>
                        </w:r>
                      </w:p>
                    </w:tc>
                    <w:tc>
                      <w:tcPr>
                        <w:tcW w:w="5040" w:type="dxa"/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39746D" w:rsidRDefault="00262869" w:rsidP="00FF4EF0">
                        <w:pPr>
                          <w:spacing w:after="0" w:line="240" w:lineRule="auto"/>
                          <w:rPr>
                            <w:rFonts w:ascii="Verdana" w:hAnsi="Verdana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European Investment Fund</w:t>
                        </w:r>
                      </w:p>
                    </w:tc>
                  </w:tr>
                  <w:tr w:rsidR="00262869" w:rsidRPr="003B1437">
                    <w:trPr>
                      <w:trHeight w:val="432"/>
                    </w:trPr>
                    <w:tc>
                      <w:tcPr>
                        <w:tcW w:w="2533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C24AC3" w:rsidRDefault="00262869" w:rsidP="00FF4EF0">
                        <w:pPr>
                          <w:spacing w:after="0" w:line="240" w:lineRule="auto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C24AC3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NGOs</w:t>
                        </w:r>
                      </w:p>
                    </w:tc>
                    <w:tc>
                      <w:tcPr>
                        <w:tcW w:w="1260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Default="00262869" w:rsidP="00FF4EF0">
                        <w:pPr>
                          <w:spacing w:after="0" w:line="240" w:lineRule="auto"/>
                          <w:ind w:right="432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900" w:type="dxa"/>
                        <w:shd w:val="clear" w:color="auto" w:fill="auto"/>
                      </w:tcPr>
                      <w:p w:rsidR="00262869" w:rsidRDefault="00262869" w:rsidP="00FF4EF0">
                        <w:pPr>
                          <w:spacing w:after="0" w:line="240" w:lineRule="auto"/>
                          <w:ind w:right="288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7%</w:t>
                        </w:r>
                      </w:p>
                    </w:tc>
                    <w:tc>
                      <w:tcPr>
                        <w:tcW w:w="5040" w:type="dxa"/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Default="00262869" w:rsidP="00FF4EF0">
                        <w:pPr>
                          <w:spacing w:after="0" w:line="240" w:lineRule="auto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Endeavour, Carbon War Room, NOLA Project</w:t>
                        </w:r>
                      </w:p>
                    </w:tc>
                  </w:tr>
                  <w:tr w:rsidR="00262869" w:rsidRPr="003B1437">
                    <w:trPr>
                      <w:trHeight w:val="432"/>
                    </w:trPr>
                    <w:tc>
                      <w:tcPr>
                        <w:tcW w:w="2533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C24AC3" w:rsidRDefault="00262869" w:rsidP="00FF4EF0">
                        <w:pPr>
                          <w:spacing w:after="0" w:line="240" w:lineRule="auto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C24AC3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Philanthropic foundations including family offices</w:t>
                        </w:r>
                      </w:p>
                    </w:tc>
                    <w:tc>
                      <w:tcPr>
                        <w:tcW w:w="126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Default="00262869" w:rsidP="00FF4EF0">
                        <w:pPr>
                          <w:spacing w:after="0" w:line="240" w:lineRule="auto"/>
                          <w:ind w:right="432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90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C8F1FF"/>
                      </w:tcPr>
                      <w:p w:rsidR="00262869" w:rsidRDefault="00262869" w:rsidP="00FF4EF0">
                        <w:pPr>
                          <w:spacing w:after="0" w:line="240" w:lineRule="auto"/>
                          <w:ind w:right="288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5.5%</w:t>
                        </w:r>
                      </w:p>
                    </w:tc>
                    <w:tc>
                      <w:tcPr>
                        <w:tcW w:w="5040" w:type="dxa"/>
                        <w:tcBorders>
                          <w:bottom w:val="single" w:sz="4" w:space="0" w:color="A6A6A6" w:themeColor="background1" w:themeShade="A6"/>
                        </w:tcBorders>
                        <w:shd w:val="clear" w:color="auto" w:fill="C8F1FF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556CB0" w:rsidRDefault="00262869" w:rsidP="000559B4">
                        <w:pPr>
                          <w:spacing w:after="0" w:line="240" w:lineRule="auto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556CB0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The Bill and Melinda Gates Foundation, </w:t>
                        </w: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556CB0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Omidyar</w:t>
                        </w:r>
                        <w:proofErr w:type="spellEnd"/>
                        <w:r w:rsidRPr="00556CB0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Network</w:t>
                        </w:r>
                        <w:r>
                          <w:rPr>
                            <w:rFonts w:ascii="Verdana" w:hAnsi="Verdana" w:cs="TimesNewRomanPSMT"/>
                            <w:sz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262869" w:rsidRPr="003B1437">
                    <w:trPr>
                      <w:trHeight w:val="360"/>
                    </w:trPr>
                    <w:tc>
                      <w:tcPr>
                        <w:tcW w:w="2533" w:type="dxa"/>
                        <w:tcBorders>
                          <w:top w:val="single" w:sz="4" w:space="0" w:color="A6A6A6" w:themeColor="background1" w:themeShade="A6"/>
                        </w:tcBorders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C24AC3" w:rsidRDefault="00262869" w:rsidP="00FF4EF0">
                        <w:pPr>
                          <w:spacing w:after="0" w:line="240" w:lineRule="auto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C24AC3"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Mainstream funds or operating roles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A6A6A6" w:themeColor="background1" w:themeShade="A6"/>
                        </w:tcBorders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Default="00262869" w:rsidP="00FF4EF0">
                        <w:pPr>
                          <w:spacing w:after="0" w:line="240" w:lineRule="auto"/>
                          <w:ind w:right="432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27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6A6A6" w:themeColor="background1" w:themeShade="A6"/>
                        </w:tcBorders>
                        <w:shd w:val="clear" w:color="auto" w:fill="auto"/>
                      </w:tcPr>
                      <w:p w:rsidR="00262869" w:rsidRDefault="00262869" w:rsidP="00FF4EF0">
                        <w:pPr>
                          <w:spacing w:after="0" w:line="240" w:lineRule="auto"/>
                          <w:ind w:right="288"/>
                          <w:jc w:val="right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50%</w:t>
                        </w:r>
                      </w:p>
                    </w:tc>
                    <w:tc>
                      <w:tcPr>
                        <w:tcW w:w="5040" w:type="dxa"/>
                        <w:tcBorders>
                          <w:top w:val="single" w:sz="4" w:space="0" w:color="A6A6A6" w:themeColor="background1" w:themeShade="A6"/>
                        </w:tcBorders>
                        <w:shd w:val="clear" w:color="auto" w:fill="auto"/>
                        <w:tcMar>
                          <w:top w:w="79" w:type="dxa"/>
                          <w:left w:w="158" w:type="dxa"/>
                          <w:bottom w:w="79" w:type="dxa"/>
                          <w:right w:w="158" w:type="dxa"/>
                        </w:tcMar>
                      </w:tcPr>
                      <w:p w:rsidR="00262869" w:rsidRPr="005B43E5" w:rsidRDefault="00262869" w:rsidP="009F20D2">
                        <w:pPr>
                          <w:spacing w:after="0" w:line="240" w:lineRule="auto"/>
                          <w:rPr>
                            <w:rFonts w:ascii="Verdana" w:hAnsi="Verdana" w:cs="Arial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5B43E5">
                          <w:rPr>
                            <w:rFonts w:ascii="Verdana" w:hAnsi="Verdana" w:cs="TimesNewRomanPSMT"/>
                            <w:sz w:val="18"/>
                          </w:rPr>
                          <w:t xml:space="preserve">Domain Associates, </w:t>
                        </w:r>
                        <w:proofErr w:type="spellStart"/>
                        <w:r w:rsidRPr="005B43E5">
                          <w:rPr>
                            <w:rFonts w:ascii="Verdana" w:hAnsi="Verdana" w:cs="TimesNewRomanPSMT"/>
                            <w:sz w:val="18"/>
                          </w:rPr>
                          <w:t>dPixel</w:t>
                        </w:r>
                        <w:proofErr w:type="spellEnd"/>
                        <w:r w:rsidRPr="005B43E5">
                          <w:rPr>
                            <w:rFonts w:ascii="Verdana" w:hAnsi="Verdana" w:cs="TimesNewRomanPSMT"/>
                            <w:sz w:val="18"/>
                          </w:rPr>
                          <w:t xml:space="preserve">, Emergence Capital Partners, IDG Ventures, </w:t>
                        </w:r>
                        <w:proofErr w:type="spellStart"/>
                        <w:r>
                          <w:rPr>
                            <w:rFonts w:ascii="Verdana" w:hAnsi="Verdana" w:cs="TimesNewRomanPSMT"/>
                            <w:sz w:val="18"/>
                          </w:rPr>
                          <w:t>Sadara</w:t>
                        </w:r>
                        <w:proofErr w:type="spellEnd"/>
                        <w:r>
                          <w:rPr>
                            <w:rFonts w:ascii="Verdana" w:hAnsi="Verdana" w:cs="TimesNewRomanPSMT"/>
                            <w:sz w:val="18"/>
                          </w:rPr>
                          <w:t xml:space="preserve"> Ventures</w:t>
                        </w:r>
                      </w:p>
                    </w:tc>
                  </w:tr>
                </w:tbl>
                <w:p w:rsidR="00262869" w:rsidRPr="00EE3D43" w:rsidRDefault="00262869" w:rsidP="0039746D">
                  <w:pPr>
                    <w:pStyle w:val="KFPFigureCaption"/>
                    <w:rPr>
                      <w:sz w:val="12"/>
                    </w:rPr>
                  </w:pPr>
                </w:p>
                <w:p w:rsidR="00262869" w:rsidRPr="00EE3D43" w:rsidRDefault="00262869" w:rsidP="0039746D">
                  <w:pPr>
                    <w:pStyle w:val="KFPFigureCaption"/>
                  </w:pPr>
                  <w:r>
                    <w:t>Figure 1</w:t>
                  </w:r>
                  <w:r w:rsidRPr="00EE3D43">
                    <w:t xml:space="preserve">. </w:t>
                  </w:r>
                  <w:r w:rsidRPr="0039746D">
                    <w:t>Number of Special Interest Group (SIG) Members by Investment Type</w:t>
                  </w:r>
                  <w:r w:rsidRPr="00EE3D43">
                    <w:t>.</w:t>
                  </w:r>
                </w:p>
              </w:txbxContent>
            </v:textbox>
          </v:shape>
        </w:pict>
      </w:r>
      <w:r w:rsidR="0053568E">
        <w:br w:type="column"/>
      </w:r>
    </w:p>
    <w:p w:rsidR="00AC0FC4" w:rsidRDefault="00AC0FC4" w:rsidP="00B92E61">
      <w:pPr>
        <w:pStyle w:val="KFPParagraph1"/>
        <w:rPr>
          <w:sz w:val="18"/>
        </w:rPr>
      </w:pPr>
    </w:p>
    <w:p w:rsidR="00604319" w:rsidRDefault="00604319" w:rsidP="00B92E61">
      <w:pPr>
        <w:pStyle w:val="KFPParagraph1"/>
        <w:rPr>
          <w:sz w:val="18"/>
        </w:rPr>
      </w:pPr>
    </w:p>
    <w:p w:rsidR="00B92E61" w:rsidRPr="00FE23D0" w:rsidRDefault="00B92E61" w:rsidP="00B92E61">
      <w:pPr>
        <w:pStyle w:val="KFPParagraph1"/>
        <w:rPr>
          <w:sz w:val="18"/>
        </w:rPr>
      </w:pPr>
    </w:p>
    <w:p w:rsidR="00F53130" w:rsidRDefault="00F53130">
      <w:pPr>
        <w:sectPr w:rsidR="00F53130">
          <w:headerReference w:type="even" r:id="rId16"/>
          <w:type w:val="continuous"/>
          <w:pgSz w:w="12240" w:h="15840"/>
          <w:pgMar w:top="1080" w:right="1152" w:bottom="1080" w:left="1440" w:header="504" w:footer="648" w:gutter="0"/>
          <w:cols w:num="2"/>
          <w:docGrid w:linePitch="360"/>
        </w:sectPr>
      </w:pPr>
    </w:p>
    <w:tbl>
      <w:tblPr>
        <w:tblW w:w="9546" w:type="dxa"/>
        <w:tblInd w:w="72" w:type="dxa"/>
        <w:tblCellMar>
          <w:top w:w="115" w:type="dxa"/>
          <w:left w:w="72" w:type="dxa"/>
          <w:right w:w="72" w:type="dxa"/>
        </w:tblCellMar>
        <w:tblLook w:val="04A0"/>
      </w:tblPr>
      <w:tblGrid>
        <w:gridCol w:w="1421"/>
        <w:gridCol w:w="1347"/>
        <w:gridCol w:w="1346"/>
        <w:gridCol w:w="1451"/>
        <w:gridCol w:w="1344"/>
        <w:gridCol w:w="1204"/>
        <w:gridCol w:w="1433"/>
      </w:tblGrid>
      <w:tr w:rsidR="009D6AAF" w:rsidRPr="0017555F">
        <w:trPr>
          <w:trHeight w:val="695"/>
        </w:trPr>
        <w:tc>
          <w:tcPr>
            <w:tcW w:w="142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000000" w:fill="C8F1FF"/>
            <w:noWrap/>
            <w:vAlign w:val="bottom"/>
          </w:tcPr>
          <w:p w:rsidR="004430BB" w:rsidRPr="004430BB" w:rsidRDefault="004430BB" w:rsidP="001805F9">
            <w:pPr>
              <w:spacing w:before="60" w:after="6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</w:pP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t>Returns: Time period</w:t>
            </w:r>
          </w:p>
        </w:tc>
        <w:tc>
          <w:tcPr>
            <w:tcW w:w="1347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000000" w:fill="C8F1FF"/>
            <w:vAlign w:val="bottom"/>
          </w:tcPr>
          <w:p w:rsidR="004430BB" w:rsidRPr="004430BB" w:rsidRDefault="004430BB" w:rsidP="001805F9">
            <w:pPr>
              <w:spacing w:before="60" w:after="6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</w:pP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t>VC</w:t>
            </w: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br/>
              <w:t>Top-quartile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vAlign w:val="bottom"/>
          </w:tcPr>
          <w:p w:rsidR="004430BB" w:rsidRPr="004430BB" w:rsidRDefault="004430BB" w:rsidP="001805F9">
            <w:pPr>
              <w:spacing w:before="60" w:after="6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</w:pP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t>LBO</w:t>
            </w: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br/>
              <w:t>Top-quartile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000000" w:fill="C8F1FF"/>
            <w:vAlign w:val="bottom"/>
          </w:tcPr>
          <w:p w:rsidR="004430BB" w:rsidRPr="004430BB" w:rsidRDefault="004430BB" w:rsidP="001805F9">
            <w:pPr>
              <w:spacing w:before="60" w:after="6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</w:pP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t>VC Out-performance</w:t>
            </w:r>
          </w:p>
        </w:tc>
        <w:tc>
          <w:tcPr>
            <w:tcW w:w="1344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000000" w:fill="C8F1FF"/>
            <w:vAlign w:val="bottom"/>
          </w:tcPr>
          <w:p w:rsidR="004430BB" w:rsidRPr="004430BB" w:rsidRDefault="004430BB" w:rsidP="001805F9">
            <w:pPr>
              <w:spacing w:before="60" w:after="6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</w:pP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t>VC</w:t>
            </w: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br/>
              <w:t>Median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vAlign w:val="bottom"/>
          </w:tcPr>
          <w:p w:rsidR="004430BB" w:rsidRPr="004430BB" w:rsidRDefault="004430BB" w:rsidP="001805F9">
            <w:pPr>
              <w:spacing w:before="60" w:after="6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</w:pP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t>LBO</w:t>
            </w: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br/>
              <w:t>Median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vAlign w:val="bottom"/>
          </w:tcPr>
          <w:p w:rsidR="004430BB" w:rsidRPr="004430BB" w:rsidRDefault="004430BB" w:rsidP="001805F9">
            <w:pPr>
              <w:spacing w:before="60" w:after="6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</w:pPr>
            <w:r w:rsidRPr="004430BB">
              <w:rPr>
                <w:rFonts w:ascii="Verdana" w:eastAsia="Times New Roman" w:hAnsi="Verdana" w:cs="Arial"/>
                <w:b/>
                <w:bCs/>
                <w:sz w:val="18"/>
                <w:szCs w:val="20"/>
              </w:rPr>
              <w:t>VC Out-performance</w:t>
            </w:r>
          </w:p>
        </w:tc>
      </w:tr>
      <w:tr w:rsidR="009D6AAF" w:rsidRPr="0017555F">
        <w:trPr>
          <w:trHeight w:val="360"/>
        </w:trPr>
        <w:tc>
          <w:tcPr>
            <w:tcW w:w="1421" w:type="dxa"/>
            <w:tcBorders>
              <w:top w:val="nil"/>
              <w:left w:val="nil"/>
              <w:right w:val="dotted" w:sz="4" w:space="0" w:color="A6A6A6" w:themeColor="background1" w:themeShade="A6"/>
            </w:tcBorders>
            <w:shd w:val="clear" w:color="auto" w:fill="auto"/>
            <w:noWrap/>
            <w:vAlign w:val="center"/>
          </w:tcPr>
          <w:p w:rsidR="009D6AAF" w:rsidRPr="004430BB" w:rsidRDefault="009D6AAF" w:rsidP="001805F9">
            <w:pPr>
              <w:spacing w:before="60" w:after="60" w:line="240" w:lineRule="auto"/>
              <w:ind w:left="216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20-year</w:t>
            </w:r>
          </w:p>
        </w:tc>
        <w:tc>
          <w:tcPr>
            <w:tcW w:w="1347" w:type="dxa"/>
            <w:tcBorders>
              <w:top w:val="nil"/>
              <w:left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6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40.3%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2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23.9%</w:t>
            </w:r>
          </w:p>
        </w:tc>
        <w:tc>
          <w:tcPr>
            <w:tcW w:w="1451" w:type="dxa"/>
            <w:tcBorders>
              <w:top w:val="nil"/>
              <w:left w:val="nil"/>
              <w:right w:val="dotted" w:sz="4" w:space="0" w:color="A6A6A6" w:themeColor="background1" w:themeShade="A6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73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16.4%</w:t>
            </w:r>
          </w:p>
        </w:tc>
        <w:tc>
          <w:tcPr>
            <w:tcW w:w="1344" w:type="dxa"/>
            <w:tcBorders>
              <w:top w:val="nil"/>
              <w:left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7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12.1%</w:t>
            </w:r>
          </w:p>
        </w:tc>
        <w:tc>
          <w:tcPr>
            <w:tcW w:w="12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7E0238">
            <w:pPr>
              <w:spacing w:before="60" w:after="60" w:line="240" w:lineRule="auto"/>
              <w:ind w:right="211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11.7%</w:t>
            </w:r>
          </w:p>
        </w:tc>
        <w:tc>
          <w:tcPr>
            <w:tcW w:w="14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7E0238">
            <w:pPr>
              <w:spacing w:before="60" w:after="60" w:line="240" w:lineRule="auto"/>
              <w:ind w:right="384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0.4%</w:t>
            </w:r>
          </w:p>
        </w:tc>
      </w:tr>
      <w:tr w:rsidR="009D6AAF" w:rsidRPr="0017555F">
        <w:trPr>
          <w:trHeight w:val="360"/>
        </w:trPr>
        <w:tc>
          <w:tcPr>
            <w:tcW w:w="142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000000" w:fill="C8F1FF"/>
            <w:noWrap/>
            <w:vAlign w:val="center"/>
          </w:tcPr>
          <w:p w:rsidR="009D6AAF" w:rsidRPr="004430BB" w:rsidRDefault="009D6AAF" w:rsidP="001805F9">
            <w:pPr>
              <w:spacing w:before="60" w:after="60" w:line="240" w:lineRule="auto"/>
              <w:ind w:left="216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15-year</w:t>
            </w:r>
          </w:p>
        </w:tc>
        <w:tc>
          <w:tcPr>
            <w:tcW w:w="1347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6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74.9%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2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24.1%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000000" w:fill="C8F1FF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73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50.8%</w:t>
            </w:r>
          </w:p>
        </w:tc>
        <w:tc>
          <w:tcPr>
            <w:tcW w:w="1344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7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12.3%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7E0238">
            <w:pPr>
              <w:spacing w:before="60" w:after="60" w:line="240" w:lineRule="auto"/>
              <w:ind w:right="211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9.3%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7E0238">
            <w:pPr>
              <w:spacing w:before="60" w:after="60" w:line="240" w:lineRule="auto"/>
              <w:ind w:right="384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3.0%</w:t>
            </w:r>
          </w:p>
        </w:tc>
      </w:tr>
      <w:tr w:rsidR="009D6AAF" w:rsidRPr="0017555F">
        <w:trPr>
          <w:trHeight w:val="360"/>
        </w:trPr>
        <w:tc>
          <w:tcPr>
            <w:tcW w:w="1421" w:type="dxa"/>
            <w:tcBorders>
              <w:top w:val="nil"/>
              <w:left w:val="nil"/>
              <w:right w:val="dotted" w:sz="4" w:space="0" w:color="A6A6A6" w:themeColor="background1" w:themeShade="A6"/>
            </w:tcBorders>
            <w:shd w:val="clear" w:color="auto" w:fill="auto"/>
            <w:noWrap/>
            <w:vAlign w:val="center"/>
          </w:tcPr>
          <w:p w:rsidR="009D6AAF" w:rsidRPr="004430BB" w:rsidRDefault="009D6AAF" w:rsidP="001805F9">
            <w:pPr>
              <w:spacing w:before="60" w:after="60" w:line="240" w:lineRule="auto"/>
              <w:ind w:left="216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10-year</w:t>
            </w:r>
          </w:p>
        </w:tc>
        <w:tc>
          <w:tcPr>
            <w:tcW w:w="1347" w:type="dxa"/>
            <w:tcBorders>
              <w:top w:val="nil"/>
              <w:left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6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3.3%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2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15.0%</w:t>
            </w:r>
          </w:p>
        </w:tc>
        <w:tc>
          <w:tcPr>
            <w:tcW w:w="1451" w:type="dxa"/>
            <w:tcBorders>
              <w:top w:val="nil"/>
              <w:left w:val="nil"/>
              <w:right w:val="dotted" w:sz="4" w:space="0" w:color="A6A6A6" w:themeColor="background1" w:themeShade="A6"/>
            </w:tcBorders>
            <w:shd w:val="clear" w:color="auto" w:fill="auto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183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FC36B7">
              <w:rPr>
                <w:rFonts w:ascii="Verdana" w:hAnsi="Verdana"/>
                <w:sz w:val="18"/>
              </w:rPr>
              <w:t>11.8%</w:t>
            </w:r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344" w:type="dxa"/>
            <w:tcBorders>
              <w:top w:val="nil"/>
              <w:left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177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9D6AAF" w:rsidRPr="004430BB">
              <w:rPr>
                <w:rFonts w:ascii="Verdana" w:hAnsi="Verdana"/>
                <w:sz w:val="18"/>
              </w:rPr>
              <w:t>2.2%</w:t>
            </w:r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2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7E0238">
            <w:pPr>
              <w:spacing w:before="60" w:after="60" w:line="240" w:lineRule="auto"/>
              <w:ind w:right="211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6.8%</w:t>
            </w:r>
          </w:p>
        </w:tc>
        <w:tc>
          <w:tcPr>
            <w:tcW w:w="14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294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9D6AAF" w:rsidRPr="004430BB">
              <w:rPr>
                <w:rFonts w:ascii="Verdana" w:hAnsi="Verdana"/>
                <w:sz w:val="18"/>
              </w:rPr>
              <w:t>9.1%</w:t>
            </w:r>
            <w:r>
              <w:rPr>
                <w:rFonts w:ascii="Verdana" w:hAnsi="Verdana"/>
                <w:sz w:val="18"/>
              </w:rPr>
              <w:t>)</w:t>
            </w:r>
          </w:p>
        </w:tc>
      </w:tr>
      <w:tr w:rsidR="009D6AAF" w:rsidRPr="0017555F">
        <w:trPr>
          <w:trHeight w:val="360"/>
        </w:trPr>
        <w:tc>
          <w:tcPr>
            <w:tcW w:w="142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000000" w:fill="C8F1FF"/>
            <w:noWrap/>
            <w:vAlign w:val="center"/>
          </w:tcPr>
          <w:p w:rsidR="009D6AAF" w:rsidRPr="004430BB" w:rsidRDefault="009D6AAF" w:rsidP="001805F9">
            <w:pPr>
              <w:spacing w:before="60" w:after="60" w:line="240" w:lineRule="auto"/>
              <w:ind w:left="216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5-year</w:t>
            </w:r>
          </w:p>
        </w:tc>
        <w:tc>
          <w:tcPr>
            <w:tcW w:w="1347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6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9.9%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2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15.7%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000000" w:fill="C8F1FF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183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FC36B7">
              <w:rPr>
                <w:rFonts w:ascii="Verdana" w:hAnsi="Verdana"/>
                <w:sz w:val="18"/>
              </w:rPr>
              <w:t>5.8%</w:t>
            </w:r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344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7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3.5%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9D6AAF" w:rsidP="007E0238">
            <w:pPr>
              <w:spacing w:before="60" w:after="60" w:line="240" w:lineRule="auto"/>
              <w:ind w:right="211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6.4%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000000" w:fill="C8F1FF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294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9D6AAF" w:rsidRPr="004430BB">
              <w:rPr>
                <w:rFonts w:ascii="Verdana" w:hAnsi="Verdana"/>
                <w:sz w:val="18"/>
              </w:rPr>
              <w:t>2.9%</w:t>
            </w:r>
            <w:r>
              <w:rPr>
                <w:rFonts w:ascii="Verdana" w:hAnsi="Verdana"/>
                <w:sz w:val="18"/>
              </w:rPr>
              <w:t>)</w:t>
            </w:r>
          </w:p>
        </w:tc>
      </w:tr>
      <w:tr w:rsidR="009D6AAF" w:rsidRPr="0017555F">
        <w:trPr>
          <w:trHeight w:val="360"/>
        </w:trPr>
        <w:tc>
          <w:tcPr>
            <w:tcW w:w="142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auto" w:fill="auto"/>
            <w:noWrap/>
            <w:vAlign w:val="center"/>
          </w:tcPr>
          <w:p w:rsidR="009D6AAF" w:rsidRPr="004430BB" w:rsidRDefault="009D6AAF" w:rsidP="001805F9">
            <w:pPr>
              <w:spacing w:before="60" w:after="60" w:line="240" w:lineRule="auto"/>
              <w:ind w:left="216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3-year</w:t>
            </w:r>
          </w:p>
        </w:tc>
        <w:tc>
          <w:tcPr>
            <w:tcW w:w="1347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6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3.9%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FC36B7">
            <w:pPr>
              <w:spacing w:before="60" w:after="60" w:line="240" w:lineRule="auto"/>
              <w:ind w:right="262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6.1%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dotted" w:sz="4" w:space="0" w:color="A6A6A6" w:themeColor="background1" w:themeShade="A6"/>
            </w:tcBorders>
            <w:shd w:val="clear" w:color="auto" w:fill="auto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183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9D6AAF" w:rsidRPr="004430BB">
              <w:rPr>
                <w:rFonts w:ascii="Verdana" w:hAnsi="Verdana"/>
                <w:sz w:val="18"/>
              </w:rPr>
              <w:t>2.2%</w:t>
            </w:r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344" w:type="dxa"/>
            <w:tcBorders>
              <w:top w:val="nil"/>
              <w:left w:val="dotted" w:sz="4" w:space="0" w:color="A6A6A6" w:themeColor="background1" w:themeShade="A6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177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9D6AAF" w:rsidRPr="004430BB">
              <w:rPr>
                <w:rFonts w:ascii="Verdana" w:hAnsi="Verdana"/>
                <w:sz w:val="18"/>
              </w:rPr>
              <w:t>1.1%</w:t>
            </w:r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9D6AAF" w:rsidP="007E0238">
            <w:pPr>
              <w:spacing w:before="60" w:after="60" w:line="240" w:lineRule="auto"/>
              <w:ind w:right="211"/>
              <w:jc w:val="right"/>
              <w:rPr>
                <w:rFonts w:ascii="Verdana" w:hAnsi="Verdana"/>
                <w:sz w:val="18"/>
              </w:rPr>
            </w:pPr>
            <w:r w:rsidRPr="004430BB">
              <w:rPr>
                <w:rFonts w:ascii="Verdana" w:hAnsi="Verdana"/>
                <w:sz w:val="18"/>
              </w:rPr>
              <w:t>0.9%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6AAF" w:rsidRPr="004430BB" w:rsidRDefault="00DA44E9" w:rsidP="00DA44E9">
            <w:pPr>
              <w:spacing w:before="60" w:after="60" w:line="240" w:lineRule="auto"/>
              <w:ind w:right="294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(</w:t>
            </w:r>
            <w:r w:rsidR="009D6AAF" w:rsidRPr="004430BB">
              <w:rPr>
                <w:rFonts w:ascii="Verdana" w:hAnsi="Verdana"/>
                <w:sz w:val="18"/>
              </w:rPr>
              <w:t>2.0%</w:t>
            </w:r>
            <w:r>
              <w:rPr>
                <w:rFonts w:ascii="Verdana" w:hAnsi="Verdana"/>
                <w:sz w:val="18"/>
              </w:rPr>
              <w:t>)</w:t>
            </w:r>
          </w:p>
        </w:tc>
      </w:tr>
    </w:tbl>
    <w:p w:rsidR="004430BB" w:rsidRDefault="004430BB" w:rsidP="007E715D">
      <w:pPr>
        <w:pStyle w:val="KFPParagraph2"/>
        <w:spacing w:line="240" w:lineRule="auto"/>
        <w:ind w:firstLine="0"/>
      </w:pPr>
    </w:p>
    <w:p w:rsidR="001805F9" w:rsidRDefault="006513FB" w:rsidP="00B33BD6">
      <w:pPr>
        <w:pStyle w:val="KFPFigureCaption"/>
      </w:pPr>
      <w:r>
        <w:t xml:space="preserve">Figure 1. </w:t>
      </w:r>
      <w:proofErr w:type="gramStart"/>
      <w:r>
        <w:t>Venture Cap</w:t>
      </w:r>
      <w:r w:rsidRPr="0017555F">
        <w:t>ital Performance versus Buyout Performance</w:t>
      </w:r>
      <w:r w:rsidRPr="006E3F43">
        <w:t>.</w:t>
      </w:r>
      <w:proofErr w:type="gramEnd"/>
      <w:r w:rsidR="002A3AFD" w:rsidRPr="006E3F43">
        <w:rPr>
          <w:rStyle w:val="FootnoteReference"/>
          <w:color w:val="0066CC"/>
        </w:rPr>
        <w:footnoteReference w:customMarkFollows="1" w:id="4"/>
        <w:t>3</w:t>
      </w:r>
      <w:r w:rsidRPr="006E3F43">
        <w:t xml:space="preserve"> </w:t>
      </w:r>
      <w:r w:rsidRPr="0017555F">
        <w:t>Buyout has outperformed VC returns in the last 10 years</w:t>
      </w:r>
      <w:proofErr w:type="gramStart"/>
      <w:r w:rsidRPr="0017555F">
        <w:t>;</w:t>
      </w:r>
      <w:proofErr w:type="gramEnd"/>
      <w:r w:rsidRPr="0017555F">
        <w:t xml:space="preserve"> great divergence between top and median performers.</w:t>
      </w:r>
    </w:p>
    <w:p w:rsidR="002F7E03" w:rsidRDefault="002F7E03" w:rsidP="00B33BD6">
      <w:pPr>
        <w:pStyle w:val="KFPFigureCaption"/>
      </w:pPr>
    </w:p>
    <w:p w:rsidR="002F7E03" w:rsidRDefault="002F7E03" w:rsidP="00B33BD6">
      <w:pPr>
        <w:pStyle w:val="KFPFigureCaption"/>
      </w:pPr>
    </w:p>
    <w:p w:rsidR="001805F9" w:rsidRDefault="001805F9" w:rsidP="00B33BD6">
      <w:pPr>
        <w:pStyle w:val="KFPFigureCaption"/>
      </w:pPr>
    </w:p>
    <w:tbl>
      <w:tblPr>
        <w:tblW w:w="9547" w:type="dxa"/>
        <w:tblInd w:w="108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457"/>
        <w:gridCol w:w="5220"/>
        <w:gridCol w:w="3870"/>
      </w:tblGrid>
      <w:tr w:rsidR="001805F9" w:rsidRPr="004E5BD7">
        <w:trPr>
          <w:trHeight w:val="83"/>
        </w:trPr>
        <w:tc>
          <w:tcPr>
            <w:tcW w:w="457" w:type="dxa"/>
            <w:tcBorders>
              <w:bottom w:val="single" w:sz="4" w:space="0" w:color="auto"/>
            </w:tcBorders>
            <w:shd w:val="clear" w:color="auto" w:fill="C8F1FF"/>
            <w:noWrap/>
            <w:vAlign w:val="center"/>
          </w:tcPr>
          <w:p w:rsidR="001805F9" w:rsidRPr="004E5BD7" w:rsidRDefault="001805F9" w:rsidP="001D1E8A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C8F1FF"/>
            <w:noWrap/>
            <w:vAlign w:val="center"/>
          </w:tcPr>
          <w:p w:rsidR="001805F9" w:rsidRPr="004E5BD7" w:rsidRDefault="001805F9" w:rsidP="007E0238">
            <w:pPr>
              <w:spacing w:after="0" w:line="240" w:lineRule="auto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E5BD7">
              <w:rPr>
                <w:rFonts w:ascii="Verdana" w:hAnsi="Verdana" w:cs="Arial"/>
                <w:b/>
                <w:bCs/>
                <w:sz w:val="18"/>
                <w:szCs w:val="18"/>
              </w:rPr>
              <w:t>Top Reasons for Poor Performance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C8F1FF"/>
            <w:noWrap/>
            <w:vAlign w:val="center"/>
          </w:tcPr>
          <w:p w:rsidR="001805F9" w:rsidRPr="004E5BD7" w:rsidRDefault="001805F9" w:rsidP="007E0238">
            <w:pPr>
              <w:spacing w:after="0" w:line="240" w:lineRule="auto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E5BD7">
              <w:rPr>
                <w:rFonts w:ascii="Verdana" w:hAnsi="Verdana" w:cs="Arial"/>
                <w:b/>
                <w:bCs/>
                <w:sz w:val="18"/>
                <w:szCs w:val="18"/>
              </w:rPr>
              <w:t>Top Signs of Future Improvement</w:t>
            </w:r>
          </w:p>
        </w:tc>
      </w:tr>
      <w:tr w:rsidR="001805F9" w:rsidRPr="00DA44E9">
        <w:trPr>
          <w:trHeight w:val="250"/>
        </w:trPr>
        <w:tc>
          <w:tcPr>
            <w:tcW w:w="457" w:type="dxa"/>
            <w:vMerge w:val="restart"/>
            <w:tcBorders>
              <w:top w:val="single" w:sz="4" w:space="0" w:color="auto"/>
              <w:bottom w:val="single" w:sz="4" w:space="0" w:color="404040" w:themeColor="text1" w:themeTint="BF"/>
            </w:tcBorders>
            <w:shd w:val="clear" w:color="auto" w:fill="auto"/>
            <w:noWrap/>
            <w:textDirection w:val="btLr"/>
          </w:tcPr>
          <w:p w:rsidR="001805F9" w:rsidRPr="00DA44E9" w:rsidRDefault="001805F9" w:rsidP="007E0238">
            <w:pPr>
              <w:jc w:val="center"/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bCs/>
                <w:sz w:val="16"/>
                <w:szCs w:val="18"/>
              </w:rPr>
              <w:t>Internal</w:t>
            </w:r>
          </w:p>
        </w:tc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Overfunding</w:t>
            </w:r>
          </w:p>
          <w:p w:rsidR="001805F9" w:rsidRPr="00DA44E9" w:rsidRDefault="001805F9" w:rsidP="004D39D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147" w:hanging="180"/>
              <w:rPr>
                <w:rFonts w:ascii="Verdana" w:hAnsi="Verdana" w:cs="Arial"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color w:val="000000"/>
                <w:sz w:val="16"/>
                <w:szCs w:val="18"/>
              </w:rPr>
              <w:t>“If &gt;$15B (per year) goes into the VC asset class, returns suffer. It dilutes access to great returns and great ideas”</w:t>
            </w:r>
          </w:p>
          <w:p w:rsidR="001805F9" w:rsidRPr="00DA44E9" w:rsidRDefault="001805F9" w:rsidP="004D39D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147" w:hanging="180"/>
              <w:rPr>
                <w:rFonts w:ascii="Verdana" w:hAnsi="Verdana" w:cs="Arial"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color w:val="000000"/>
                <w:sz w:val="16"/>
                <w:szCs w:val="18"/>
              </w:rPr>
              <w:t>“VC does not scale”</w:t>
            </w:r>
          </w:p>
        </w:tc>
        <w:tc>
          <w:tcPr>
            <w:tcW w:w="3870" w:type="dxa"/>
            <w:tcBorders>
              <w:top w:val="single" w:sz="4" w:space="0" w:color="auto"/>
            </w:tcBorders>
            <w:shd w:val="clear" w:color="auto" w:fill="auto"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Capital efficiency</w:t>
            </w:r>
          </w:p>
          <w:p w:rsidR="001805F9" w:rsidRPr="00DA44E9" w:rsidRDefault="001805F9" w:rsidP="004D39D8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162" w:hanging="153"/>
              <w:rPr>
                <w:rFonts w:ascii="Verdana" w:hAnsi="Verdana" w:cs="Arial"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color w:val="000000"/>
                <w:sz w:val="16"/>
                <w:szCs w:val="18"/>
              </w:rPr>
              <w:t>“Less total funding leads to smaller funds, less number of funds, as well as less total deals funded =&gt;best of the best left”</w:t>
            </w:r>
          </w:p>
        </w:tc>
      </w:tr>
      <w:tr w:rsidR="001805F9" w:rsidRPr="00DA44E9">
        <w:trPr>
          <w:trHeight w:val="20"/>
        </w:trPr>
        <w:tc>
          <w:tcPr>
            <w:tcW w:w="457" w:type="dxa"/>
            <w:vMerge/>
            <w:tcBorders>
              <w:bottom w:val="single" w:sz="4" w:space="0" w:color="404040" w:themeColor="text1" w:themeTint="BF"/>
            </w:tcBorders>
            <w:shd w:val="clear" w:color="auto" w:fill="auto"/>
            <w:vAlign w:val="center"/>
          </w:tcPr>
          <w:p w:rsidR="001805F9" w:rsidRPr="00DA44E9" w:rsidRDefault="001805F9" w:rsidP="00752DFA">
            <w:pPr>
              <w:jc w:val="center"/>
              <w:rPr>
                <w:rFonts w:ascii="Verdana" w:hAnsi="Verdana" w:cs="Arial"/>
                <w:b/>
                <w:bCs/>
                <w:sz w:val="16"/>
                <w:szCs w:val="18"/>
              </w:rPr>
            </w:pPr>
          </w:p>
        </w:tc>
        <w:tc>
          <w:tcPr>
            <w:tcW w:w="5220" w:type="dxa"/>
            <w:shd w:val="clear" w:color="auto" w:fill="C8F1FF"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Investments in mediocre managers who</w:t>
            </w:r>
            <w:r w:rsidR="00FF70FD"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 xml:space="preserve"> </w:t>
            </w: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became passive with portfolio companies</w:t>
            </w:r>
          </w:p>
          <w:p w:rsidR="001805F9" w:rsidRPr="00DA44E9" w:rsidRDefault="001805F9" w:rsidP="004D39D8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147" w:hanging="180"/>
              <w:rPr>
                <w:rFonts w:ascii="Verdana" w:hAnsi="Verdana" w:cs="Arial"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color w:val="000000"/>
                <w:sz w:val="16"/>
                <w:szCs w:val="18"/>
              </w:rPr>
              <w:t>“The divergence in returns between good and bad managers is the largest compared to any other asset class”</w:t>
            </w:r>
          </w:p>
        </w:tc>
        <w:tc>
          <w:tcPr>
            <w:tcW w:w="3870" w:type="dxa"/>
            <w:shd w:val="clear" w:color="auto" w:fill="C8F1FF"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Better asset managers</w:t>
            </w:r>
          </w:p>
          <w:p w:rsidR="001805F9" w:rsidRPr="00DA44E9" w:rsidRDefault="00DA44E9" w:rsidP="004D39D8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189" w:hanging="207"/>
              <w:rPr>
                <w:rFonts w:ascii="Verdana" w:hAnsi="Verdana" w:cs="Arial"/>
                <w:color w:val="000000"/>
                <w:sz w:val="16"/>
                <w:szCs w:val="18"/>
              </w:rPr>
            </w:pPr>
            <w:r>
              <w:rPr>
                <w:rFonts w:ascii="Verdana" w:hAnsi="Verdana" w:cs="Arial"/>
                <w:color w:val="000000"/>
                <w:sz w:val="16"/>
                <w:szCs w:val="18"/>
              </w:rPr>
              <w:t>“</w:t>
            </w:r>
            <w:r w:rsidR="001805F9" w:rsidRPr="00DA44E9">
              <w:rPr>
                <w:rFonts w:ascii="Verdana" w:hAnsi="Verdana" w:cs="Arial"/>
                <w:color w:val="000000"/>
                <w:sz w:val="16"/>
                <w:szCs w:val="18"/>
              </w:rPr>
              <w:t>Unwatched masses are getting out of the business”</w:t>
            </w:r>
          </w:p>
        </w:tc>
      </w:tr>
      <w:tr w:rsidR="001805F9" w:rsidRPr="00DA44E9">
        <w:trPr>
          <w:trHeight w:val="20"/>
        </w:trPr>
        <w:tc>
          <w:tcPr>
            <w:tcW w:w="457" w:type="dxa"/>
            <w:vMerge/>
            <w:tcBorders>
              <w:bottom w:val="single" w:sz="4" w:space="0" w:color="404040" w:themeColor="text1" w:themeTint="BF"/>
            </w:tcBorders>
            <w:shd w:val="clear" w:color="auto" w:fill="auto"/>
            <w:vAlign w:val="center"/>
          </w:tcPr>
          <w:p w:rsidR="001805F9" w:rsidRPr="00DA44E9" w:rsidRDefault="001805F9" w:rsidP="00752DFA">
            <w:pPr>
              <w:jc w:val="center"/>
              <w:rPr>
                <w:rFonts w:ascii="Verdana" w:hAnsi="Verdana" w:cs="Arial"/>
                <w:b/>
                <w:bCs/>
                <w:sz w:val="16"/>
                <w:szCs w:val="18"/>
              </w:rPr>
            </w:pPr>
          </w:p>
        </w:tc>
        <w:tc>
          <w:tcPr>
            <w:tcW w:w="5220" w:type="dxa"/>
            <w:shd w:val="clear" w:color="auto" w:fill="auto"/>
            <w:noWrap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Overvalued deals</w:t>
            </w:r>
          </w:p>
        </w:tc>
        <w:tc>
          <w:tcPr>
            <w:tcW w:w="3870" w:type="dxa"/>
            <w:shd w:val="clear" w:color="auto" w:fill="auto"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Smaller funds</w:t>
            </w:r>
          </w:p>
          <w:p w:rsidR="001805F9" w:rsidRPr="00DA44E9" w:rsidRDefault="001805F9" w:rsidP="004D39D8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189" w:hanging="189"/>
              <w:rPr>
                <w:rFonts w:ascii="Verdana" w:hAnsi="Verdana" w:cs="Arial"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color w:val="000000"/>
                <w:sz w:val="16"/>
                <w:szCs w:val="18"/>
              </w:rPr>
              <w:t>“Focus in a smaller fund will be on returns”</w:t>
            </w:r>
          </w:p>
        </w:tc>
      </w:tr>
      <w:tr w:rsidR="001805F9" w:rsidRPr="00DA44E9">
        <w:trPr>
          <w:trHeight w:val="20"/>
        </w:trPr>
        <w:tc>
          <w:tcPr>
            <w:tcW w:w="457" w:type="dxa"/>
            <w:vMerge/>
            <w:tcBorders>
              <w:bottom w:val="single" w:sz="4" w:space="0" w:color="404040" w:themeColor="text1" w:themeTint="BF"/>
            </w:tcBorders>
            <w:shd w:val="clear" w:color="auto" w:fill="auto"/>
            <w:vAlign w:val="center"/>
          </w:tcPr>
          <w:p w:rsidR="001805F9" w:rsidRPr="00DA44E9" w:rsidRDefault="001805F9" w:rsidP="00752DFA">
            <w:pPr>
              <w:jc w:val="center"/>
              <w:rPr>
                <w:rFonts w:ascii="Verdana" w:hAnsi="Verdana" w:cs="Arial"/>
                <w:b/>
                <w:bCs/>
                <w:sz w:val="16"/>
                <w:szCs w:val="18"/>
              </w:rPr>
            </w:pPr>
          </w:p>
        </w:tc>
        <w:tc>
          <w:tcPr>
            <w:tcW w:w="5220" w:type="dxa"/>
            <w:shd w:val="clear" w:color="auto" w:fill="C8F1FF"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Larger fund sizes</w:t>
            </w:r>
          </w:p>
          <w:p w:rsidR="001805F9" w:rsidRPr="00DA44E9" w:rsidRDefault="001805F9" w:rsidP="004D39D8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40" w:lineRule="auto"/>
              <w:ind w:left="186" w:hanging="189"/>
              <w:rPr>
                <w:rFonts w:ascii="Verdana" w:hAnsi="Verdana" w:cs="Arial"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color w:val="000000"/>
                <w:sz w:val="16"/>
                <w:szCs w:val="18"/>
              </w:rPr>
              <w:t>“The larger the fund the less incentive to focus</w:t>
            </w:r>
            <w:r w:rsidRPr="00DA44E9">
              <w:rPr>
                <w:rFonts w:ascii="Verdana" w:hAnsi="Verdana" w:cs="Arial"/>
                <w:color w:val="000000"/>
                <w:sz w:val="16"/>
                <w:szCs w:val="18"/>
              </w:rPr>
              <w:br/>
              <w:t>on returns, and the less churn of older GP</w:t>
            </w:r>
            <w:r w:rsidR="00752DFA" w:rsidRPr="00DA44E9">
              <w:rPr>
                <w:rFonts w:ascii="Verdana" w:hAnsi="Verdana" w:cs="Arial"/>
                <w:color w:val="000000"/>
                <w:sz w:val="16"/>
                <w:szCs w:val="18"/>
              </w:rPr>
              <w:t>s”</w:t>
            </w:r>
          </w:p>
        </w:tc>
        <w:tc>
          <w:tcPr>
            <w:tcW w:w="3870" w:type="dxa"/>
            <w:shd w:val="clear" w:color="auto" w:fill="C8F1FF"/>
            <w:noWrap/>
          </w:tcPr>
          <w:p w:rsidR="001805F9" w:rsidRPr="00DA44E9" w:rsidRDefault="001805F9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Valuations coming down</w:t>
            </w:r>
          </w:p>
        </w:tc>
      </w:tr>
      <w:tr w:rsidR="00FF70FD" w:rsidRPr="00DA44E9">
        <w:trPr>
          <w:trHeight w:val="14"/>
        </w:trPr>
        <w:tc>
          <w:tcPr>
            <w:tcW w:w="457" w:type="dxa"/>
            <w:vMerge/>
            <w:tcBorders>
              <w:bottom w:val="single" w:sz="4" w:space="0" w:color="404040" w:themeColor="text1" w:themeTint="BF"/>
            </w:tcBorders>
            <w:shd w:val="clear" w:color="auto" w:fill="auto"/>
            <w:noWrap/>
            <w:vAlign w:val="center"/>
          </w:tcPr>
          <w:p w:rsidR="00FF70FD" w:rsidRPr="00DA44E9" w:rsidRDefault="00FF70FD" w:rsidP="00752DFA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5220" w:type="dxa"/>
            <w:tcBorders>
              <w:bottom w:val="single" w:sz="6" w:space="0" w:color="404040" w:themeColor="text1" w:themeTint="BF"/>
            </w:tcBorders>
            <w:shd w:val="clear" w:color="auto" w:fill="auto"/>
            <w:noWrap/>
          </w:tcPr>
          <w:p w:rsidR="00FF70FD" w:rsidRPr="00DA44E9" w:rsidRDefault="00FF70FD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Funding of me-too companies that were</w:t>
            </w: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br/>
              <w:t>capital inefficient</w:t>
            </w:r>
          </w:p>
        </w:tc>
        <w:tc>
          <w:tcPr>
            <w:tcW w:w="3870" w:type="dxa"/>
            <w:tcBorders>
              <w:bottom w:val="single" w:sz="6" w:space="0" w:color="404040" w:themeColor="text1" w:themeTint="BF"/>
            </w:tcBorders>
            <w:shd w:val="clear" w:color="auto" w:fill="auto"/>
          </w:tcPr>
          <w:p w:rsidR="00FF70FD" w:rsidRPr="00DA44E9" w:rsidRDefault="00FF70FD" w:rsidP="00F27D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color w:val="000000"/>
                <w:sz w:val="16"/>
                <w:szCs w:val="18"/>
              </w:rPr>
              <w:t xml:space="preserve">Funding of </w:t>
            </w:r>
            <w:r w:rsidRPr="00DA44E9">
              <w:rPr>
                <w:rFonts w:ascii="Verdana" w:hAnsi="Verdana" w:cs="Helvetica Neue Medium"/>
                <w:b/>
                <w:color w:val="000000"/>
                <w:sz w:val="16"/>
                <w:szCs w:val="18"/>
              </w:rPr>
              <w:t>transformational companies that</w:t>
            </w:r>
            <w:r w:rsidR="00F27D5D" w:rsidRPr="00DA44E9">
              <w:rPr>
                <w:rFonts w:ascii="Verdana" w:hAnsi="Verdana" w:cs="Helvetica Neue Medium"/>
                <w:b/>
                <w:color w:val="000000"/>
                <w:sz w:val="16"/>
                <w:szCs w:val="18"/>
              </w:rPr>
              <w:t xml:space="preserve"> </w:t>
            </w:r>
            <w:r w:rsidRPr="00DA44E9">
              <w:rPr>
                <w:rFonts w:ascii="Verdana" w:hAnsi="Verdana" w:cs="Helvetica Neue Medium"/>
                <w:b/>
                <w:color w:val="000000"/>
                <w:sz w:val="16"/>
                <w:szCs w:val="18"/>
              </w:rPr>
              <w:t>need VC backing to succeed</w:t>
            </w:r>
          </w:p>
        </w:tc>
      </w:tr>
      <w:tr w:rsidR="00266400" w:rsidRPr="00DA44E9">
        <w:trPr>
          <w:trHeight w:val="821"/>
        </w:trPr>
        <w:tc>
          <w:tcPr>
            <w:tcW w:w="457" w:type="dxa"/>
            <w:tcBorders>
              <w:top w:val="single" w:sz="4" w:space="0" w:color="404040" w:themeColor="text1" w:themeTint="BF"/>
            </w:tcBorders>
            <w:shd w:val="clear" w:color="auto" w:fill="auto"/>
            <w:noWrap/>
            <w:textDirection w:val="btLr"/>
          </w:tcPr>
          <w:p w:rsidR="00266400" w:rsidRPr="00DA44E9" w:rsidRDefault="00266400" w:rsidP="00266400">
            <w:pPr>
              <w:jc w:val="center"/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 w:rsidRPr="00DA44E9">
              <w:rPr>
                <w:rFonts w:ascii="Verdana" w:hAnsi="Verdana" w:cs="Arial"/>
                <w:b/>
                <w:bCs/>
                <w:sz w:val="16"/>
                <w:szCs w:val="18"/>
              </w:rPr>
              <w:t>External</w:t>
            </w:r>
          </w:p>
        </w:tc>
        <w:tc>
          <w:tcPr>
            <w:tcW w:w="5220" w:type="dxa"/>
            <w:tcBorders>
              <w:top w:val="single" w:sz="6" w:space="0" w:color="404040" w:themeColor="text1" w:themeTint="BF"/>
            </w:tcBorders>
            <w:shd w:val="clear" w:color="auto" w:fill="C8F1FF"/>
            <w:noWrap/>
          </w:tcPr>
          <w:p w:rsidR="00266400" w:rsidRDefault="00266400" w:rsidP="00266400">
            <w:pPr>
              <w:spacing w:after="6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No IPO market</w:t>
            </w:r>
          </w:p>
          <w:p w:rsidR="00266400" w:rsidRDefault="00266400" w:rsidP="00266400">
            <w:pPr>
              <w:spacing w:after="6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Sarbanes-Oxley rules</w:t>
            </w:r>
          </w:p>
          <w:p w:rsidR="00266400" w:rsidRPr="00DA44E9" w:rsidRDefault="00266400" w:rsidP="001D1E8A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Limited coverage of small cap companies</w:t>
            </w:r>
          </w:p>
        </w:tc>
        <w:tc>
          <w:tcPr>
            <w:tcW w:w="3870" w:type="dxa"/>
            <w:tcBorders>
              <w:top w:val="single" w:sz="6" w:space="0" w:color="404040" w:themeColor="text1" w:themeTint="BF"/>
            </w:tcBorders>
            <w:shd w:val="clear" w:color="auto" w:fill="C8F1FF"/>
          </w:tcPr>
          <w:p w:rsidR="00266400" w:rsidRDefault="00266400" w:rsidP="00F27D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Arial"/>
                <w:b/>
                <w:color w:val="000000"/>
                <w:sz w:val="16"/>
                <w:szCs w:val="18"/>
              </w:rPr>
              <w:t>Attractive public markets</w:t>
            </w:r>
          </w:p>
          <w:p w:rsidR="00266400" w:rsidRPr="00266400" w:rsidRDefault="00266400" w:rsidP="00900E3C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ascii="Verdana" w:hAnsi="Verdana" w:cs="Arial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Arial"/>
                <w:color w:val="000000"/>
                <w:sz w:val="16"/>
                <w:szCs w:val="18"/>
              </w:rPr>
              <w:t>“So many good profitable companies out there waiting in the backlog for the markets to open”</w:t>
            </w:r>
          </w:p>
        </w:tc>
      </w:tr>
    </w:tbl>
    <w:p w:rsidR="001D1E8A" w:rsidRDefault="001D1E8A" w:rsidP="007E0238">
      <w:pPr>
        <w:pStyle w:val="KFPFigureCaption"/>
        <w:spacing w:before="240"/>
      </w:pPr>
      <w:r>
        <w:t xml:space="preserve">Figure 2. </w:t>
      </w:r>
      <w:proofErr w:type="gramStart"/>
      <w:r>
        <w:t xml:space="preserve">Reasons </w:t>
      </w:r>
      <w:r w:rsidRPr="00A62E63">
        <w:t>for Venture Capital Performance in the Last Decade and What Changes to Expect Going Forward</w:t>
      </w:r>
      <w:r w:rsidRPr="006E3F43">
        <w:t>.</w:t>
      </w:r>
      <w:proofErr w:type="gramEnd"/>
      <w:r w:rsidR="00D845B6" w:rsidRPr="006E3F43">
        <w:rPr>
          <w:rStyle w:val="FootnoteReference"/>
          <w:color w:val="0066CC"/>
        </w:rPr>
        <w:footnoteReference w:customMarkFollows="1" w:id="5"/>
        <w:t>4</w:t>
      </w:r>
      <w:r w:rsidRPr="006E3F43">
        <w:t xml:space="preserve"> </w:t>
      </w:r>
      <w:r w:rsidRPr="00A62E63">
        <w:t xml:space="preserve">Most LPs believe internal factors were most to blame for the poor absolute returns of the last decade and see </w:t>
      </w:r>
      <w:proofErr w:type="gramStart"/>
      <w:r w:rsidRPr="00A62E63">
        <w:t>right-sizing</w:t>
      </w:r>
      <w:proofErr w:type="gramEnd"/>
      <w:r w:rsidRPr="00A62E63">
        <w:t xml:space="preserve"> going forward.</w:t>
      </w:r>
    </w:p>
    <w:p w:rsidR="004430BB" w:rsidRDefault="004430BB" w:rsidP="00B33BD6">
      <w:pPr>
        <w:pStyle w:val="KFPFigureCaption"/>
      </w:pPr>
    </w:p>
    <w:p w:rsidR="004430BB" w:rsidRDefault="004430BB" w:rsidP="004430BB">
      <w:pPr>
        <w:pStyle w:val="KFPParagraph2"/>
        <w:spacing w:line="271" w:lineRule="auto"/>
      </w:pPr>
    </w:p>
    <w:p w:rsidR="00B33BD6" w:rsidRDefault="00B33BD6" w:rsidP="004430BB">
      <w:pPr>
        <w:pStyle w:val="KFPParagraph2"/>
        <w:spacing w:line="271" w:lineRule="auto"/>
        <w:sectPr w:rsidR="00B33BD6">
          <w:headerReference w:type="even" r:id="rId17"/>
          <w:pgSz w:w="12240" w:h="15840"/>
          <w:pgMar w:top="1080" w:right="1152" w:bottom="1080" w:left="1440" w:header="504" w:footer="648" w:gutter="0"/>
        </w:sectPr>
      </w:pPr>
    </w:p>
    <w:p w:rsidR="004430BB" w:rsidRDefault="00086D5D" w:rsidP="004430BB">
      <w:pPr>
        <w:pStyle w:val="KFPParagraph2"/>
        <w:spacing w:line="271" w:lineRule="auto"/>
        <w:sectPr w:rsidR="004430BB">
          <w:pgSz w:w="12240" w:h="15840"/>
          <w:pgMar w:top="1080" w:right="1152" w:bottom="1080" w:left="1440" w:header="504" w:footer="648" w:gutter="0"/>
          <w:cols w:num="2"/>
        </w:sectPr>
      </w:pP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-93134</wp:posOffset>
            </wp:positionV>
            <wp:extent cx="6383867" cy="4123267"/>
            <wp:effectExtent l="0" t="0" r="0" b="0"/>
            <wp:wrapNone/>
            <wp:docPr id="11" name="Objec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:rsidR="004430BB" w:rsidRPr="005A3DFC" w:rsidRDefault="004430BB" w:rsidP="004430BB">
      <w:pPr>
        <w:pStyle w:val="KFPParagraph2"/>
        <w:spacing w:line="271" w:lineRule="auto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086D5D" w:rsidRDefault="00086D5D" w:rsidP="00086D5D">
      <w:pPr>
        <w:pStyle w:val="KFPFigureCaption"/>
      </w:pPr>
    </w:p>
    <w:p w:rsidR="0028773D" w:rsidRDefault="0028773D" w:rsidP="00086D5D">
      <w:pPr>
        <w:pStyle w:val="KFPFigureCaption"/>
      </w:pPr>
    </w:p>
    <w:p w:rsidR="0028773D" w:rsidRDefault="0028773D" w:rsidP="00086D5D">
      <w:pPr>
        <w:pStyle w:val="KFPFigureCaption"/>
      </w:pPr>
    </w:p>
    <w:p w:rsidR="00086D5D" w:rsidRPr="00A53FBD" w:rsidRDefault="00086D5D" w:rsidP="00086D5D">
      <w:pPr>
        <w:pStyle w:val="KFPFigureCaption"/>
      </w:pPr>
      <w:r w:rsidRPr="00A53FBD">
        <w:t>Figure 3. Venture Returns by Vintage Year Median, Upper, and Lower Quartile 1984–200</w:t>
      </w:r>
      <w:r w:rsidR="00BC0D79">
        <w:t>9</w:t>
      </w:r>
      <w:r w:rsidRPr="006E3F43">
        <w:t>.</w:t>
      </w:r>
      <w:r w:rsidR="00D845B6" w:rsidRPr="006E3F43">
        <w:rPr>
          <w:rStyle w:val="FootnoteReference"/>
          <w:color w:val="0066CC"/>
        </w:rPr>
        <w:footnoteReference w:customMarkFollows="1" w:id="6"/>
        <w:t>5</w:t>
      </w:r>
      <w:r w:rsidRPr="00A53FBD">
        <w:t xml:space="preserve"> </w:t>
      </w:r>
      <w:proofErr w:type="gramStart"/>
      <w:r w:rsidRPr="00A53FBD">
        <w:t>Large differences in performance between funds in the top and bottom quartiles of the distribution.</w:t>
      </w:r>
      <w:proofErr w:type="gramEnd"/>
    </w:p>
    <w:p w:rsidR="00225810" w:rsidRDefault="00225810" w:rsidP="00352AF3">
      <w:pPr>
        <w:pStyle w:val="KFPParagraph2"/>
        <w:spacing w:before="40"/>
      </w:pPr>
    </w:p>
    <w:p w:rsidR="00086D5D" w:rsidRDefault="00FB00CC" w:rsidP="00021863">
      <w:pPr>
        <w:pStyle w:val="KFPParagraph2"/>
        <w:spacing w:line="274" w:lineRule="auto"/>
      </w:pPr>
      <w:r w:rsidRPr="005A3DFC">
        <w:t xml:space="preserve"> </w:t>
      </w:r>
    </w:p>
    <w:p w:rsidR="00273F20" w:rsidRDefault="005D10A4" w:rsidP="004430BB">
      <w:pPr>
        <w:pStyle w:val="KFPParagraph2"/>
        <w:ind w:firstLine="0"/>
      </w:pPr>
      <w:r w:rsidRPr="005D10A4">
        <w:rPr>
          <w:noProof/>
        </w:rPr>
        <w:drawing>
          <wp:inline distT="0" distB="0" distL="0" distR="0">
            <wp:extent cx="2743200" cy="2742565"/>
            <wp:effectExtent l="0" t="0" r="0" b="635"/>
            <wp:docPr id="30" name="Chart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73F20" w:rsidRPr="00BA6431" w:rsidRDefault="00273F20" w:rsidP="00273F20">
      <w:pPr>
        <w:pStyle w:val="KFPFigureCaption"/>
      </w:pPr>
      <w:r>
        <w:t xml:space="preserve">Figure 4. </w:t>
      </w:r>
      <w:proofErr w:type="gramStart"/>
      <w:r>
        <w:t>LP Preference</w:t>
      </w:r>
      <w:r w:rsidRPr="00BA6431">
        <w:t xml:space="preserve"> in Sector </w:t>
      </w:r>
      <w:r w:rsidR="007E2A26">
        <w:br/>
      </w:r>
      <w:r w:rsidRPr="00BA6431">
        <w:t>of VC Funds.</w:t>
      </w:r>
      <w:proofErr w:type="gramEnd"/>
      <w:r>
        <w:t xml:space="preserve"> </w:t>
      </w:r>
      <w:r w:rsidR="005D10A4">
        <w:t>LS = life science,</w:t>
      </w:r>
      <w:r w:rsidR="007E2A26">
        <w:br/>
      </w:r>
      <w:r w:rsidR="005D10A4">
        <w:t xml:space="preserve">CT = </w:t>
      </w:r>
      <w:proofErr w:type="spellStart"/>
      <w:r w:rsidR="005D10A4">
        <w:t>cleantech</w:t>
      </w:r>
      <w:proofErr w:type="spellEnd"/>
      <w:r w:rsidR="005D10A4">
        <w:t>, IT = information tech.</w:t>
      </w:r>
    </w:p>
    <w:p w:rsidR="001F3ACE" w:rsidRPr="005E2AE4" w:rsidRDefault="001F3ACE" w:rsidP="000A4274">
      <w:pPr>
        <w:pStyle w:val="KFPBullet"/>
        <w:spacing w:after="120"/>
        <w:ind w:left="360" w:firstLine="0"/>
      </w:pPr>
    </w:p>
    <w:p w:rsidR="007F0812" w:rsidRDefault="000A4274" w:rsidP="004430BB">
      <w:pPr>
        <w:pStyle w:val="KFPParagraph2"/>
        <w:ind w:firstLine="0"/>
        <w:rPr>
          <w:highlight w:val="red"/>
        </w:rPr>
      </w:pPr>
      <w:r>
        <w:rPr>
          <w:highlight w:val="red"/>
        </w:rPr>
        <w:br w:type="column"/>
      </w:r>
    </w:p>
    <w:p w:rsidR="00A52977" w:rsidRPr="005A3DFC" w:rsidRDefault="00A52977" w:rsidP="00A52977">
      <w:pPr>
        <w:pStyle w:val="KFPParagraph2"/>
      </w:pPr>
      <w:r w:rsidRPr="005A3DFC">
        <w:t xml:space="preserve"> </w:t>
      </w:r>
    </w:p>
    <w:p w:rsidR="00A52977" w:rsidRPr="005A3DFC" w:rsidRDefault="00D83160" w:rsidP="00A52977">
      <w:pPr>
        <w:pStyle w:val="KFPParagraph1"/>
      </w:pPr>
      <w:r w:rsidRPr="00D83160">
        <w:rPr>
          <w:noProof/>
        </w:rPr>
        <w:drawing>
          <wp:inline distT="0" distB="0" distL="0" distR="0">
            <wp:extent cx="2834640" cy="2283431"/>
            <wp:effectExtent l="0" t="0" r="0" b="3175"/>
            <wp:docPr id="34" name="Chart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97A93" w:rsidRPr="00BA6431" w:rsidRDefault="00497A93" w:rsidP="00F8220B">
      <w:pPr>
        <w:pStyle w:val="KFPFigureCaption"/>
      </w:pPr>
      <w:r w:rsidRPr="00BA6431">
        <w:t xml:space="preserve">Figure </w:t>
      </w:r>
      <w:r>
        <w:t>6</w:t>
      </w:r>
      <w:r w:rsidRPr="00BA6431">
        <w:t xml:space="preserve">. </w:t>
      </w:r>
      <w:proofErr w:type="gramStart"/>
      <w:r w:rsidRPr="00BA6431">
        <w:t xml:space="preserve">LP Preferences in </w:t>
      </w:r>
      <w:r>
        <w:t xml:space="preserve">Stage </w:t>
      </w:r>
      <w:r w:rsidRPr="00BA6431">
        <w:t>of VC Funds.</w:t>
      </w:r>
      <w:proofErr w:type="gramEnd"/>
    </w:p>
    <w:p w:rsidR="00345E21" w:rsidRDefault="00345E21" w:rsidP="004430BB">
      <w:pPr>
        <w:pStyle w:val="KFPParagraph2"/>
        <w:ind w:firstLine="0"/>
        <w:rPr>
          <w:highlight w:val="red"/>
        </w:rPr>
      </w:pPr>
    </w:p>
    <w:sectPr w:rsidR="00345E21" w:rsidSect="00266400">
      <w:headerReference w:type="even" r:id="rId21"/>
      <w:type w:val="continuous"/>
      <w:pgSz w:w="12240" w:h="15840"/>
      <w:pgMar w:top="1080" w:right="1152" w:bottom="1080" w:left="1440" w:header="504" w:footer="648" w:gutter="0"/>
      <w:cols w:num="2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869" w:rsidRDefault="00262869" w:rsidP="00F011D3">
      <w:pPr>
        <w:spacing w:after="0" w:line="240" w:lineRule="auto"/>
      </w:pPr>
      <w:r>
        <w:separator/>
      </w:r>
    </w:p>
  </w:endnote>
  <w:endnote w:type="continuationSeparator" w:id="0">
    <w:p w:rsidR="00262869" w:rsidRDefault="00262869" w:rsidP="00F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NeueLT Std Blk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Gotham-Bold">
    <w:panose1 w:val="02000804030000020004"/>
    <w:charset w:val="00"/>
    <w:family w:val="auto"/>
    <w:pitch w:val="variable"/>
    <w:sig w:usb0="00000003" w:usb1="00000000" w:usb2="00000000" w:usb3="00000000" w:csb0="00000001" w:csb1="00000000"/>
  </w:font>
  <w:font w:name="Gotham-Book">
    <w:panose1 w:val="02000604040000020004"/>
    <w:charset w:val="00"/>
    <w:family w:val="auto"/>
    <w:pitch w:val="variable"/>
    <w:sig w:usb0="00000003" w:usb1="00000000" w:usb2="00000000" w:usb3="00000000" w:csb0="00000001" w:csb1="00000000"/>
  </w:font>
  <w:font w:name="Gotham-Medium">
    <w:panose1 w:val="020006040400000200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A942C0" w:rsidRDefault="003423F8" w:rsidP="00F00A3F">
    <w:pPr>
      <w:pStyle w:val="Footer"/>
      <w:framePr w:wrap="around" w:vAnchor="text" w:hAnchor="margin" w:xAlign="outside" w:y="1"/>
      <w:rPr>
        <w:rStyle w:val="PageNumber"/>
      </w:rPr>
    </w:pPr>
    <w:r w:rsidRPr="00A942C0">
      <w:rPr>
        <w:rStyle w:val="PageNumber"/>
        <w:rFonts w:ascii="Gotham-Book" w:hAnsi="Gotham-Book"/>
        <w:color w:val="0066CC"/>
      </w:rPr>
      <w:fldChar w:fldCharType="begin"/>
    </w:r>
    <w:r w:rsidR="00262869" w:rsidRPr="00A942C0">
      <w:rPr>
        <w:rStyle w:val="PageNumber"/>
        <w:rFonts w:ascii="Gotham-Book" w:hAnsi="Gotham-Book"/>
        <w:color w:val="0066CC"/>
      </w:rPr>
      <w:instrText xml:space="preserve">PAGE  </w:instrText>
    </w:r>
    <w:r w:rsidRPr="00A942C0">
      <w:rPr>
        <w:rStyle w:val="PageNumber"/>
        <w:rFonts w:ascii="Gotham-Book" w:hAnsi="Gotham-Book"/>
        <w:color w:val="0066CC"/>
      </w:rPr>
      <w:fldChar w:fldCharType="separate"/>
    </w:r>
    <w:r w:rsidR="0062512E">
      <w:rPr>
        <w:rStyle w:val="PageNumber"/>
        <w:rFonts w:ascii="Gotham-Book" w:hAnsi="Gotham-Book"/>
        <w:noProof/>
        <w:color w:val="0066CC"/>
      </w:rPr>
      <w:t>7</w:t>
    </w:r>
    <w:r w:rsidRPr="00A942C0">
      <w:rPr>
        <w:rStyle w:val="PageNumber"/>
        <w:rFonts w:ascii="Gotham-Book" w:hAnsi="Gotham-Book"/>
        <w:color w:val="0066CC"/>
      </w:rPr>
      <w:fldChar w:fldCharType="end"/>
    </w:r>
  </w:p>
  <w:p w:rsidR="00262869" w:rsidRPr="00E75FC3" w:rsidRDefault="00262869" w:rsidP="008A78F8">
    <w:pPr>
      <w:pStyle w:val="Footer"/>
      <w:ind w:right="360" w:firstLine="360"/>
      <w:rPr>
        <w:sz w:val="20"/>
      </w:rPr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4D6445" w:rsidRDefault="003423F8" w:rsidP="00F13966">
    <w:pPr>
      <w:pStyle w:val="Footer"/>
      <w:framePr w:wrap="around" w:vAnchor="text" w:hAnchor="margin" w:xAlign="outside" w:y="1"/>
      <w:rPr>
        <w:rStyle w:val="PageNumber"/>
      </w:rPr>
    </w:pPr>
    <w:r w:rsidRPr="004D6445">
      <w:rPr>
        <w:rStyle w:val="PageNumber"/>
        <w:rFonts w:ascii="Gotham-Book" w:hAnsi="Gotham-Book"/>
        <w:color w:val="0066CC"/>
      </w:rPr>
      <w:fldChar w:fldCharType="begin"/>
    </w:r>
    <w:r w:rsidR="00262869" w:rsidRPr="004D6445">
      <w:rPr>
        <w:rStyle w:val="PageNumber"/>
        <w:rFonts w:ascii="Gotham-Book" w:hAnsi="Gotham-Book"/>
        <w:color w:val="0066CC"/>
      </w:rPr>
      <w:instrText xml:space="preserve">PAGE  </w:instrText>
    </w:r>
    <w:r w:rsidRPr="004D6445">
      <w:rPr>
        <w:rStyle w:val="PageNumber"/>
        <w:rFonts w:ascii="Gotham-Book" w:hAnsi="Gotham-Book"/>
        <w:color w:val="0066CC"/>
      </w:rPr>
      <w:fldChar w:fldCharType="separate"/>
    </w:r>
    <w:r w:rsidR="0062512E">
      <w:rPr>
        <w:rStyle w:val="PageNumber"/>
        <w:rFonts w:ascii="Gotham-Book" w:hAnsi="Gotham-Book"/>
        <w:noProof/>
        <w:color w:val="0066CC"/>
      </w:rPr>
      <w:t>8</w:t>
    </w:r>
    <w:r w:rsidRPr="004D6445">
      <w:rPr>
        <w:rStyle w:val="PageNumber"/>
        <w:rFonts w:ascii="Gotham-Book" w:hAnsi="Gotham-Book"/>
        <w:color w:val="0066CC"/>
      </w:rPr>
      <w:fldChar w:fldCharType="end"/>
    </w:r>
  </w:p>
  <w:p w:rsidR="00262869" w:rsidRPr="004D6445" w:rsidRDefault="00262869" w:rsidP="008A78F8">
    <w:pPr>
      <w:pStyle w:val="Footer"/>
      <w:ind w:right="360" w:firstLine="360"/>
      <w:rPr>
        <w:rFonts w:ascii="Gotham-Book" w:hAnsi="Gotham-Book"/>
        <w:color w:val="0066CC"/>
        <w:sz w:val="20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869" w:rsidRPr="001A2BD4" w:rsidRDefault="00262869" w:rsidP="001A2BD4">
      <w:pPr>
        <w:pStyle w:val="Footer"/>
        <w:rPr>
          <w:sz w:val="4"/>
        </w:rPr>
      </w:pPr>
    </w:p>
  </w:footnote>
  <w:footnote w:type="continuationSeparator" w:id="0">
    <w:p w:rsidR="00262869" w:rsidRPr="001A2BD4" w:rsidRDefault="00262869" w:rsidP="001A2BD4">
      <w:pPr>
        <w:pStyle w:val="Footer"/>
        <w:rPr>
          <w:sz w:val="4"/>
        </w:rPr>
      </w:pPr>
    </w:p>
  </w:footnote>
  <w:footnote w:type="continuationNotice" w:id="1">
    <w:p w:rsidR="00262869" w:rsidRPr="001A2BD4" w:rsidRDefault="00262869" w:rsidP="001A2BD4">
      <w:pPr>
        <w:pStyle w:val="Footer"/>
        <w:rPr>
          <w:sz w:val="4"/>
        </w:rPr>
      </w:pPr>
    </w:p>
  </w:footnote>
  <w:footnote w:id="2">
    <w:p w:rsidR="00E430C8" w:rsidRPr="005E030E" w:rsidRDefault="00E430C8">
      <w:pPr>
        <w:pStyle w:val="FootnoteText"/>
        <w:rPr>
          <w:color w:val="000000" w:themeColor="text1"/>
        </w:rPr>
      </w:pPr>
      <w:r>
        <w:rPr>
          <w:rStyle w:val="FootnoteReference"/>
        </w:rPr>
        <w:t>16</w:t>
      </w:r>
      <w:r w:rsidRPr="005E030E">
        <w:rPr>
          <w:color w:val="000000" w:themeColor="text1"/>
        </w:rPr>
        <w:t xml:space="preserve"> </w:t>
      </w:r>
      <w:proofErr w:type="gramStart"/>
      <w:r>
        <w:rPr>
          <w:rStyle w:val="KFPFootnoteChar"/>
          <w:color w:val="000000" w:themeColor="text1"/>
        </w:rPr>
        <w:t>Author</w:t>
      </w:r>
      <w:r w:rsidRPr="005E030E">
        <w:rPr>
          <w:rStyle w:val="KFPFootnoteChar"/>
          <w:color w:val="000000" w:themeColor="text1"/>
        </w:rPr>
        <w:t>s</w:t>
      </w:r>
      <w:r>
        <w:rPr>
          <w:rStyle w:val="KFPFootnoteChar"/>
          <w:color w:val="000000" w:themeColor="text1"/>
        </w:rPr>
        <w:t>’</w:t>
      </w:r>
      <w:r w:rsidRPr="005E030E">
        <w:rPr>
          <w:rStyle w:val="KFPFootnoteChar"/>
          <w:color w:val="000000" w:themeColor="text1"/>
        </w:rPr>
        <w:t xml:space="preserve"> chart; data from Zero2IPO Research Center, </w:t>
      </w:r>
      <w:r w:rsidRPr="005E030E">
        <w:rPr>
          <w:rStyle w:val="KFPFootnoteChar"/>
          <w:i/>
          <w:color w:val="000000" w:themeColor="text1"/>
        </w:rPr>
        <w:t>China VC/PE Market Review 2010</w:t>
      </w:r>
      <w:r w:rsidRPr="005E030E">
        <w:rPr>
          <w:rStyle w:val="KFPFootnoteChar"/>
          <w:color w:val="000000" w:themeColor="text1"/>
        </w:rPr>
        <w:t>, 8.</w:t>
      </w:r>
      <w:proofErr w:type="gramEnd"/>
      <w:r w:rsidRPr="005E030E">
        <w:rPr>
          <w:rStyle w:val="KFPFootnoteChar"/>
          <w:color w:val="000000" w:themeColor="text1"/>
        </w:rPr>
        <w:t xml:space="preserve"> </w:t>
      </w:r>
    </w:p>
  </w:footnote>
  <w:footnote w:id="3">
    <w:p w:rsidR="00E430C8" w:rsidRPr="005E030E" w:rsidRDefault="00E430C8" w:rsidP="00952372">
      <w:pPr>
        <w:pStyle w:val="KFPFootnote"/>
        <w:keepLines/>
        <w:rPr>
          <w:color w:val="000000" w:themeColor="text1"/>
        </w:rPr>
      </w:pPr>
      <w:r>
        <w:rPr>
          <w:rStyle w:val="FootnoteReference"/>
        </w:rPr>
        <w:t>17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Author</w:t>
      </w:r>
      <w:r w:rsidRPr="005E030E">
        <w:rPr>
          <w:color w:val="000000" w:themeColor="text1"/>
        </w:rPr>
        <w:t>s</w:t>
      </w:r>
      <w:r>
        <w:rPr>
          <w:color w:val="000000" w:themeColor="text1"/>
        </w:rPr>
        <w:t>’</w:t>
      </w:r>
      <w:r w:rsidRPr="005E030E">
        <w:rPr>
          <w:color w:val="000000" w:themeColor="text1"/>
        </w:rPr>
        <w:t xml:space="preserve"> graph; data from Zero2IPO Research Center, </w:t>
      </w:r>
      <w:r w:rsidRPr="005E030E">
        <w:rPr>
          <w:i/>
          <w:color w:val="000000" w:themeColor="text1"/>
        </w:rPr>
        <w:t>China VC/PE Market Review 2010</w:t>
      </w:r>
      <w:r w:rsidRPr="005E030E">
        <w:rPr>
          <w:color w:val="000000" w:themeColor="text1"/>
        </w:rPr>
        <w:t>, 10.</w:t>
      </w:r>
      <w:proofErr w:type="gramEnd"/>
      <w:r w:rsidRPr="005E030E">
        <w:rPr>
          <w:i/>
          <w:color w:val="000000" w:themeColor="text1"/>
        </w:rPr>
        <w:t xml:space="preserve"> </w:t>
      </w:r>
    </w:p>
  </w:footnote>
  <w:footnote w:id="4">
    <w:p w:rsidR="00262869" w:rsidRPr="005E030E" w:rsidRDefault="00262869" w:rsidP="0028439A">
      <w:pPr>
        <w:pStyle w:val="KFPFootnote"/>
        <w:keepLines/>
        <w:rPr>
          <w:color w:val="000000" w:themeColor="text1"/>
        </w:rPr>
      </w:pPr>
      <w:r w:rsidRPr="005E030E">
        <w:rPr>
          <w:rStyle w:val="FootnoteReference"/>
          <w:color w:val="000000" w:themeColor="text1"/>
        </w:rPr>
        <w:t>3</w:t>
      </w:r>
      <w:r w:rsidRPr="005E030E">
        <w:rPr>
          <w:color w:val="000000" w:themeColor="text1"/>
        </w:rPr>
        <w:t xml:space="preserve"> Note: 10-year return data for VC varies from those quoted in the article due to differences in sources as well as time period cited. </w:t>
      </w:r>
      <w:proofErr w:type="gramStart"/>
      <w:r w:rsidRPr="005E030E">
        <w:rPr>
          <w:color w:val="000000" w:themeColor="text1"/>
        </w:rPr>
        <w:t xml:space="preserve">Author’s table; data from </w:t>
      </w:r>
      <w:r w:rsidRPr="005E030E">
        <w:rPr>
          <w:iCs/>
          <w:color w:val="000000" w:themeColor="text1"/>
          <w:szCs w:val="14"/>
        </w:rPr>
        <w:t xml:space="preserve">Thomson One, </w:t>
      </w:r>
      <w:proofErr w:type="gramEnd"/>
      <w:r w:rsidRPr="005E030E">
        <w:rPr>
          <w:iCs/>
          <w:color w:val="000000" w:themeColor="text1"/>
          <w:szCs w:val="14"/>
        </w:rPr>
        <w:t>https://www.thomsonone.com/</w:t>
      </w:r>
      <w:proofErr w:type="gramStart"/>
      <w:r w:rsidRPr="005E030E">
        <w:rPr>
          <w:iCs/>
          <w:color w:val="000000" w:themeColor="text1"/>
          <w:szCs w:val="14"/>
        </w:rPr>
        <w:t>; point-to-point return calculations through 30 September 2010.</w:t>
      </w:r>
      <w:proofErr w:type="gramEnd"/>
    </w:p>
  </w:footnote>
  <w:footnote w:id="5">
    <w:p w:rsidR="00262869" w:rsidRPr="005E030E" w:rsidRDefault="00262869" w:rsidP="0028439A">
      <w:pPr>
        <w:pStyle w:val="KFPFootnote"/>
        <w:keepLines/>
        <w:rPr>
          <w:color w:val="000000" w:themeColor="text1"/>
        </w:rPr>
      </w:pPr>
      <w:r w:rsidRPr="005E030E">
        <w:rPr>
          <w:rStyle w:val="FootnoteReference"/>
          <w:color w:val="000000" w:themeColor="text1"/>
        </w:rPr>
        <w:t>4</w:t>
      </w:r>
      <w:r w:rsidRPr="005E030E">
        <w:rPr>
          <w:color w:val="000000" w:themeColor="text1"/>
        </w:rPr>
        <w:t xml:space="preserve"> Limited Partners (LPs), interviews by author, 2010.</w:t>
      </w:r>
    </w:p>
  </w:footnote>
  <w:footnote w:id="6">
    <w:p w:rsidR="00262869" w:rsidRPr="005E030E" w:rsidRDefault="00262869" w:rsidP="0028439A">
      <w:pPr>
        <w:pStyle w:val="KFPFootnote"/>
        <w:keepLines/>
        <w:rPr>
          <w:color w:val="000000" w:themeColor="text1"/>
        </w:rPr>
      </w:pPr>
      <w:r w:rsidRPr="005E030E">
        <w:rPr>
          <w:rStyle w:val="FootnoteReference"/>
          <w:color w:val="000000" w:themeColor="text1"/>
        </w:rPr>
        <w:t>5</w:t>
      </w:r>
      <w:r w:rsidRPr="005E030E">
        <w:rPr>
          <w:color w:val="000000" w:themeColor="text1"/>
        </w:rPr>
        <w:t xml:space="preserve"> </w:t>
      </w:r>
      <w:proofErr w:type="gramStart"/>
      <w:r w:rsidRPr="005E030E">
        <w:rPr>
          <w:color w:val="000000" w:themeColor="text1"/>
        </w:rPr>
        <w:t xml:space="preserve">Data from </w:t>
      </w:r>
      <w:r w:rsidRPr="005E030E">
        <w:rPr>
          <w:iCs/>
          <w:color w:val="000000" w:themeColor="text1"/>
          <w:szCs w:val="14"/>
        </w:rPr>
        <w:t>Cambridge Associates, U.S. Venture Capital Index.</w:t>
      </w:r>
      <w:proofErr w:type="gramEnd"/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FA0C83" w:rsidRDefault="00262869" w:rsidP="001C7584">
    <w:pPr>
      <w:pStyle w:val="Header"/>
      <w:rPr>
        <w:rFonts w:ascii="Gotham-Book" w:hAnsi="Gotham-Book"/>
        <w:color w:val="000090"/>
        <w:sz w:val="24"/>
      </w:rPr>
    </w:pPr>
    <w:r>
      <w:rPr>
        <w:rFonts w:ascii="Gotham-Book" w:hAnsi="Gotham-Book"/>
        <w:color w:val="000090"/>
        <w:sz w:val="24"/>
      </w:rPr>
      <w:t>Innovation, Capital Formation, and the Society of Kauffman Fellows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F816AE" w:rsidRDefault="00262869" w:rsidP="00F816AE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Default="00262869">
    <w:pPr>
      <w:pStyle w:val="Header"/>
    </w:pPr>
  </w:p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A02E0A" w:rsidRDefault="00262869" w:rsidP="00310F88">
    <w:pPr>
      <w:pStyle w:val="Header"/>
      <w:rPr>
        <w:rFonts w:ascii="Gotham-Book" w:hAnsi="Gotham-Book"/>
        <w:color w:val="0066CC"/>
        <w:sz w:val="20"/>
      </w:rPr>
    </w:pPr>
    <w:r>
      <w:rPr>
        <w:rFonts w:ascii="Gotham-Book" w:hAnsi="Gotham-Book"/>
        <w:color w:val="0066CC"/>
        <w:sz w:val="20"/>
      </w:rPr>
      <w:t>China’s National Energy Plan and Investment Considerations</w:t>
    </w:r>
  </w:p>
</w:hdr>
</file>

<file path=word/header5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A02E0A" w:rsidRDefault="00262869" w:rsidP="00310F88">
    <w:pPr>
      <w:pStyle w:val="Header"/>
      <w:rPr>
        <w:rFonts w:ascii="Gotham-Book" w:hAnsi="Gotham-Book"/>
        <w:color w:val="0066CC"/>
        <w:sz w:val="20"/>
      </w:rPr>
    </w:pPr>
    <w:r>
      <w:rPr>
        <w:rFonts w:ascii="Gotham-Book" w:hAnsi="Gotham-Book"/>
        <w:color w:val="0066CC"/>
        <w:sz w:val="20"/>
      </w:rPr>
      <w:t>Confessions of a Reluctant Impact Investor</w:t>
    </w:r>
  </w:p>
</w:hdr>
</file>

<file path=word/header6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A02E0A" w:rsidRDefault="00262869" w:rsidP="00310F88">
    <w:pPr>
      <w:pStyle w:val="Header"/>
      <w:rPr>
        <w:rFonts w:ascii="Gotham-Book" w:hAnsi="Gotham-Book"/>
        <w:color w:val="0066CC"/>
        <w:sz w:val="20"/>
      </w:rPr>
    </w:pPr>
    <w:r>
      <w:rPr>
        <w:rFonts w:ascii="Gotham-Book" w:hAnsi="Gotham-Book"/>
        <w:color w:val="0066CC"/>
        <w:sz w:val="20"/>
      </w:rPr>
      <w:t>LPs and the Venture Capital Asset Class: A Candid Conversation</w:t>
    </w:r>
  </w:p>
</w:hdr>
</file>

<file path=word/header7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869" w:rsidRPr="00FA0C83" w:rsidRDefault="00262869" w:rsidP="00310F88">
    <w:pPr>
      <w:pStyle w:val="Header"/>
      <w:rPr>
        <w:rFonts w:ascii="Gotham-Book" w:hAnsi="Gotham-Book"/>
        <w:color w:val="000090"/>
        <w:sz w:val="24"/>
      </w:rPr>
    </w:pPr>
    <w:r>
      <w:rPr>
        <w:rFonts w:ascii="Gotham-Book" w:hAnsi="Gotham-Book"/>
        <w:color w:val="000090"/>
        <w:sz w:val="24"/>
      </w:rPr>
      <w:t>The Future of Venture Capital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C4D"/>
    <w:multiLevelType w:val="multilevel"/>
    <w:tmpl w:val="CD4ED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47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D0402"/>
    <w:multiLevelType w:val="hybridMultilevel"/>
    <w:tmpl w:val="CC7E97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HelveticaNeueLT Std Bl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HelveticaNeueLT Std Bl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HelveticaNeueLT Std Bl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7DE0F19"/>
    <w:multiLevelType w:val="hybridMultilevel"/>
    <w:tmpl w:val="5582D624"/>
    <w:lvl w:ilvl="0" w:tplc="E30623A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09ED08A5"/>
    <w:multiLevelType w:val="hybridMultilevel"/>
    <w:tmpl w:val="82187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60F67"/>
    <w:multiLevelType w:val="hybridMultilevel"/>
    <w:tmpl w:val="675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B36B8"/>
    <w:multiLevelType w:val="hybridMultilevel"/>
    <w:tmpl w:val="6312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91A2D"/>
    <w:multiLevelType w:val="hybridMultilevel"/>
    <w:tmpl w:val="DB76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D32F1"/>
    <w:multiLevelType w:val="hybridMultilevel"/>
    <w:tmpl w:val="1FCE7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62889E">
      <w:start w:val="147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2A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8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26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A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05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CA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4971A7"/>
    <w:multiLevelType w:val="hybridMultilevel"/>
    <w:tmpl w:val="D120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2889E">
      <w:start w:val="147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2A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8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26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A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05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CA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4B0CC6"/>
    <w:multiLevelType w:val="hybridMultilevel"/>
    <w:tmpl w:val="8E3AD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BC4E6E"/>
    <w:multiLevelType w:val="hybridMultilevel"/>
    <w:tmpl w:val="3DEC1956"/>
    <w:lvl w:ilvl="0" w:tplc="425C3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62889E">
      <w:start w:val="147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2A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8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26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A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05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CA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DC5D33"/>
    <w:multiLevelType w:val="hybridMultilevel"/>
    <w:tmpl w:val="A5AE8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HelveticaNeueLT Std Bl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HelveticaNeueLT Std Bl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HelveticaNeueLT Std Bl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FE8107A"/>
    <w:multiLevelType w:val="hybridMultilevel"/>
    <w:tmpl w:val="9C5CDD72"/>
    <w:lvl w:ilvl="0" w:tplc="0E8EE2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8A300C"/>
    <w:multiLevelType w:val="hybridMultilevel"/>
    <w:tmpl w:val="157C9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FC203A"/>
    <w:multiLevelType w:val="hybridMultilevel"/>
    <w:tmpl w:val="1AF6B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810746"/>
    <w:multiLevelType w:val="hybridMultilevel"/>
    <w:tmpl w:val="63AEA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NeueLT Std Bl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NeueLT Std Bl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NeueLT Std Bl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7972D6"/>
    <w:multiLevelType w:val="hybridMultilevel"/>
    <w:tmpl w:val="AD08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84D3F"/>
    <w:multiLevelType w:val="hybridMultilevel"/>
    <w:tmpl w:val="497EF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31604E"/>
    <w:multiLevelType w:val="hybridMultilevel"/>
    <w:tmpl w:val="B12A3AC4"/>
    <w:lvl w:ilvl="0" w:tplc="53DC8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9D0B7F"/>
    <w:multiLevelType w:val="hybridMultilevel"/>
    <w:tmpl w:val="82D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B0F7D31"/>
    <w:multiLevelType w:val="hybridMultilevel"/>
    <w:tmpl w:val="175A2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F71097"/>
    <w:multiLevelType w:val="hybridMultilevel"/>
    <w:tmpl w:val="4B6833FE"/>
    <w:lvl w:ilvl="0" w:tplc="53DC8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103481"/>
    <w:multiLevelType w:val="hybridMultilevel"/>
    <w:tmpl w:val="D44880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HelveticaNeueLT Std Bl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HelveticaNeueLT Std Bl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HelveticaNeueLT Std Bl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FB22B6"/>
    <w:multiLevelType w:val="hybridMultilevel"/>
    <w:tmpl w:val="9D509F2E"/>
    <w:lvl w:ilvl="0" w:tplc="53DC8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B82008"/>
    <w:multiLevelType w:val="hybridMultilevel"/>
    <w:tmpl w:val="3D24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DA522F"/>
    <w:multiLevelType w:val="hybridMultilevel"/>
    <w:tmpl w:val="5510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F215F41"/>
    <w:multiLevelType w:val="hybridMultilevel"/>
    <w:tmpl w:val="25989AB8"/>
    <w:lvl w:ilvl="0" w:tplc="0E8EE2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9A369A"/>
    <w:multiLevelType w:val="hybridMultilevel"/>
    <w:tmpl w:val="B3229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C06A3"/>
    <w:multiLevelType w:val="hybridMultilevel"/>
    <w:tmpl w:val="82FEBFFA"/>
    <w:lvl w:ilvl="0" w:tplc="53DC8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48C4602"/>
    <w:multiLevelType w:val="hybridMultilevel"/>
    <w:tmpl w:val="E1BEC3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56F425E5"/>
    <w:multiLevelType w:val="hybridMultilevel"/>
    <w:tmpl w:val="DC403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0F75B1"/>
    <w:multiLevelType w:val="hybridMultilevel"/>
    <w:tmpl w:val="BB065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62889E">
      <w:start w:val="147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2A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8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26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A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05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CA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173149"/>
    <w:multiLevelType w:val="hybridMultilevel"/>
    <w:tmpl w:val="02A8340C"/>
    <w:lvl w:ilvl="0" w:tplc="53DC8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5E264B"/>
    <w:multiLevelType w:val="hybridMultilevel"/>
    <w:tmpl w:val="CD4E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2889E">
      <w:start w:val="147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2A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8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26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A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05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CA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E43C32"/>
    <w:multiLevelType w:val="hybridMultilevel"/>
    <w:tmpl w:val="71F42BD8"/>
    <w:lvl w:ilvl="0" w:tplc="89D8AB6A">
      <w:start w:val="1"/>
      <w:numFmt w:val="decimal"/>
      <w:lvlText w:val="%1)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5">
    <w:nsid w:val="6E6849E7"/>
    <w:multiLevelType w:val="hybridMultilevel"/>
    <w:tmpl w:val="BB3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0673AA"/>
    <w:multiLevelType w:val="hybridMultilevel"/>
    <w:tmpl w:val="4782AE7C"/>
    <w:lvl w:ilvl="0" w:tplc="6DA01D82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1B0A75"/>
    <w:multiLevelType w:val="hybridMultilevel"/>
    <w:tmpl w:val="CE2C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280187"/>
    <w:multiLevelType w:val="hybridMultilevel"/>
    <w:tmpl w:val="7C843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963452"/>
    <w:multiLevelType w:val="hybridMultilevel"/>
    <w:tmpl w:val="75AA85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8814ED9"/>
    <w:multiLevelType w:val="hybridMultilevel"/>
    <w:tmpl w:val="66040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NeueLT Std Bl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NeueLT Std Bl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NeueLT Std Bl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382CD5"/>
    <w:multiLevelType w:val="hybridMultilevel"/>
    <w:tmpl w:val="4C6C2D4A"/>
    <w:lvl w:ilvl="0" w:tplc="53DC8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E6129E0"/>
    <w:multiLevelType w:val="hybridMultilevel"/>
    <w:tmpl w:val="8FF8AB1E"/>
    <w:lvl w:ilvl="0" w:tplc="0E8EE2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D1733F"/>
    <w:multiLevelType w:val="hybridMultilevel"/>
    <w:tmpl w:val="009A8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42"/>
  </w:num>
  <w:num w:numId="4">
    <w:abstractNumId w:val="26"/>
  </w:num>
  <w:num w:numId="5">
    <w:abstractNumId w:val="21"/>
  </w:num>
  <w:num w:numId="6">
    <w:abstractNumId w:val="18"/>
  </w:num>
  <w:num w:numId="7">
    <w:abstractNumId w:val="23"/>
  </w:num>
  <w:num w:numId="8">
    <w:abstractNumId w:val="28"/>
  </w:num>
  <w:num w:numId="9">
    <w:abstractNumId w:val="10"/>
  </w:num>
  <w:num w:numId="10">
    <w:abstractNumId w:val="33"/>
  </w:num>
  <w:num w:numId="11">
    <w:abstractNumId w:val="31"/>
  </w:num>
  <w:num w:numId="12">
    <w:abstractNumId w:val="7"/>
  </w:num>
  <w:num w:numId="13">
    <w:abstractNumId w:val="39"/>
  </w:num>
  <w:num w:numId="14">
    <w:abstractNumId w:val="15"/>
  </w:num>
  <w:num w:numId="15">
    <w:abstractNumId w:val="8"/>
  </w:num>
  <w:num w:numId="16">
    <w:abstractNumId w:val="2"/>
  </w:num>
  <w:num w:numId="17">
    <w:abstractNumId w:val="27"/>
  </w:num>
  <w:num w:numId="18">
    <w:abstractNumId w:val="3"/>
  </w:num>
  <w:num w:numId="19">
    <w:abstractNumId w:val="29"/>
  </w:num>
  <w:num w:numId="20">
    <w:abstractNumId w:val="1"/>
  </w:num>
  <w:num w:numId="21">
    <w:abstractNumId w:val="22"/>
  </w:num>
  <w:num w:numId="22">
    <w:abstractNumId w:val="11"/>
  </w:num>
  <w:num w:numId="23">
    <w:abstractNumId w:val="40"/>
  </w:num>
  <w:num w:numId="24">
    <w:abstractNumId w:val="34"/>
  </w:num>
  <w:num w:numId="25">
    <w:abstractNumId w:val="0"/>
  </w:num>
  <w:num w:numId="26">
    <w:abstractNumId w:val="13"/>
  </w:num>
  <w:num w:numId="27">
    <w:abstractNumId w:val="24"/>
  </w:num>
  <w:num w:numId="28">
    <w:abstractNumId w:val="14"/>
  </w:num>
  <w:num w:numId="29">
    <w:abstractNumId w:val="43"/>
  </w:num>
  <w:num w:numId="30">
    <w:abstractNumId w:val="25"/>
  </w:num>
  <w:num w:numId="31">
    <w:abstractNumId w:val="19"/>
  </w:num>
  <w:num w:numId="32">
    <w:abstractNumId w:val="38"/>
  </w:num>
  <w:num w:numId="33">
    <w:abstractNumId w:val="20"/>
  </w:num>
  <w:num w:numId="34">
    <w:abstractNumId w:val="5"/>
  </w:num>
  <w:num w:numId="35">
    <w:abstractNumId w:val="9"/>
  </w:num>
  <w:num w:numId="36">
    <w:abstractNumId w:val="37"/>
  </w:num>
  <w:num w:numId="37">
    <w:abstractNumId w:val="4"/>
  </w:num>
  <w:num w:numId="38">
    <w:abstractNumId w:val="16"/>
  </w:num>
  <w:num w:numId="39">
    <w:abstractNumId w:val="17"/>
  </w:num>
  <w:num w:numId="40">
    <w:abstractNumId w:val="35"/>
  </w:num>
  <w:num w:numId="41">
    <w:abstractNumId w:val="30"/>
  </w:num>
  <w:num w:numId="42">
    <w:abstractNumId w:val="41"/>
  </w:num>
  <w:num w:numId="43">
    <w:abstractNumId w:val="36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doNotUseMarginsForDrawingGridOrigin/>
  <w:drawingGridHorizontalOrigin w:val="1440"/>
  <w:drawingGridVerticalOrigin w:val="1440"/>
  <w:characterSpacingControl w:val="doNotCompress"/>
  <w:savePreviewPicture/>
  <w:hdrShapeDefaults>
    <o:shapedefaults v:ext="edit" spidmax="2050">
      <o:colormru v:ext="edit" colors="#06c,#6cf,#002354,#c8f1ff"/>
      <o:colormenu v:ext="edit" fillcolor="none [3212]" strokecolor="none [3212]"/>
    </o:shapedefaults>
  </w:hdrShapeDefaults>
  <w:footnotePr>
    <w:numRestart w:val="eachSect"/>
    <w:footnote w:id="-1"/>
    <w:footnote w:id="0"/>
    <w:footnote w:id="1"/>
  </w:footnotePr>
  <w:endnotePr>
    <w:endnote w:id="-1"/>
    <w:endnote w:id="0"/>
  </w:endnotePr>
  <w:compat/>
  <w:rsids>
    <w:rsidRoot w:val="00E16322"/>
    <w:rsid w:val="00000D70"/>
    <w:rsid w:val="00003816"/>
    <w:rsid w:val="000041AE"/>
    <w:rsid w:val="00005D68"/>
    <w:rsid w:val="0000619E"/>
    <w:rsid w:val="00007FB0"/>
    <w:rsid w:val="00010DD2"/>
    <w:rsid w:val="00011936"/>
    <w:rsid w:val="00012C75"/>
    <w:rsid w:val="00012E9E"/>
    <w:rsid w:val="00013565"/>
    <w:rsid w:val="00013C7C"/>
    <w:rsid w:val="00013D88"/>
    <w:rsid w:val="00014A46"/>
    <w:rsid w:val="00016A7D"/>
    <w:rsid w:val="00017D09"/>
    <w:rsid w:val="000205E7"/>
    <w:rsid w:val="00020CF4"/>
    <w:rsid w:val="00021863"/>
    <w:rsid w:val="00025625"/>
    <w:rsid w:val="000308FD"/>
    <w:rsid w:val="00030C37"/>
    <w:rsid w:val="00030FE0"/>
    <w:rsid w:val="000320B6"/>
    <w:rsid w:val="00033472"/>
    <w:rsid w:val="000414BF"/>
    <w:rsid w:val="00041DCE"/>
    <w:rsid w:val="00043519"/>
    <w:rsid w:val="00046A0D"/>
    <w:rsid w:val="00046F2C"/>
    <w:rsid w:val="00047586"/>
    <w:rsid w:val="00053151"/>
    <w:rsid w:val="00054913"/>
    <w:rsid w:val="000556AA"/>
    <w:rsid w:val="000559B4"/>
    <w:rsid w:val="00056385"/>
    <w:rsid w:val="000570DD"/>
    <w:rsid w:val="0005735B"/>
    <w:rsid w:val="00057AE4"/>
    <w:rsid w:val="00057CAF"/>
    <w:rsid w:val="000603DA"/>
    <w:rsid w:val="00061DAB"/>
    <w:rsid w:val="0006509E"/>
    <w:rsid w:val="00065243"/>
    <w:rsid w:val="0006652C"/>
    <w:rsid w:val="00066DDB"/>
    <w:rsid w:val="00066E70"/>
    <w:rsid w:val="000707A1"/>
    <w:rsid w:val="0007352E"/>
    <w:rsid w:val="00073631"/>
    <w:rsid w:val="00073A47"/>
    <w:rsid w:val="00073A82"/>
    <w:rsid w:val="00075721"/>
    <w:rsid w:val="000758C5"/>
    <w:rsid w:val="0007666B"/>
    <w:rsid w:val="00080398"/>
    <w:rsid w:val="0008167E"/>
    <w:rsid w:val="000816C6"/>
    <w:rsid w:val="00082620"/>
    <w:rsid w:val="00083310"/>
    <w:rsid w:val="000836BB"/>
    <w:rsid w:val="00086D5D"/>
    <w:rsid w:val="00087AB9"/>
    <w:rsid w:val="00091504"/>
    <w:rsid w:val="00091C1C"/>
    <w:rsid w:val="00094163"/>
    <w:rsid w:val="00094256"/>
    <w:rsid w:val="00094372"/>
    <w:rsid w:val="00094CF6"/>
    <w:rsid w:val="0009506D"/>
    <w:rsid w:val="00095AED"/>
    <w:rsid w:val="000972C9"/>
    <w:rsid w:val="00097F3F"/>
    <w:rsid w:val="000A06FF"/>
    <w:rsid w:val="000A13C7"/>
    <w:rsid w:val="000A1D49"/>
    <w:rsid w:val="000A4274"/>
    <w:rsid w:val="000A4AB7"/>
    <w:rsid w:val="000A4B2E"/>
    <w:rsid w:val="000A56FC"/>
    <w:rsid w:val="000A5CF2"/>
    <w:rsid w:val="000B03DE"/>
    <w:rsid w:val="000B047E"/>
    <w:rsid w:val="000B0D57"/>
    <w:rsid w:val="000B1940"/>
    <w:rsid w:val="000B383A"/>
    <w:rsid w:val="000B442E"/>
    <w:rsid w:val="000B6F2B"/>
    <w:rsid w:val="000B7AF0"/>
    <w:rsid w:val="000C01D2"/>
    <w:rsid w:val="000C172B"/>
    <w:rsid w:val="000C1F2C"/>
    <w:rsid w:val="000C20C8"/>
    <w:rsid w:val="000C2BCF"/>
    <w:rsid w:val="000C4F87"/>
    <w:rsid w:val="000C5579"/>
    <w:rsid w:val="000C702B"/>
    <w:rsid w:val="000C72D7"/>
    <w:rsid w:val="000C7F90"/>
    <w:rsid w:val="000D1D4B"/>
    <w:rsid w:val="000D34B2"/>
    <w:rsid w:val="000D3DE2"/>
    <w:rsid w:val="000D4A5B"/>
    <w:rsid w:val="000D65CE"/>
    <w:rsid w:val="000D7840"/>
    <w:rsid w:val="000E0801"/>
    <w:rsid w:val="000E14D6"/>
    <w:rsid w:val="000E3B35"/>
    <w:rsid w:val="000E4896"/>
    <w:rsid w:val="000E578C"/>
    <w:rsid w:val="000E6604"/>
    <w:rsid w:val="000E6C74"/>
    <w:rsid w:val="000F1B6F"/>
    <w:rsid w:val="000F29BA"/>
    <w:rsid w:val="000F3876"/>
    <w:rsid w:val="000F5059"/>
    <w:rsid w:val="000F7502"/>
    <w:rsid w:val="0010099B"/>
    <w:rsid w:val="001015FB"/>
    <w:rsid w:val="00101953"/>
    <w:rsid w:val="00101BCF"/>
    <w:rsid w:val="001029C0"/>
    <w:rsid w:val="001051A4"/>
    <w:rsid w:val="00106B50"/>
    <w:rsid w:val="00107245"/>
    <w:rsid w:val="001106EC"/>
    <w:rsid w:val="00111BCE"/>
    <w:rsid w:val="0011232C"/>
    <w:rsid w:val="00115E82"/>
    <w:rsid w:val="00116114"/>
    <w:rsid w:val="001161D0"/>
    <w:rsid w:val="001165B6"/>
    <w:rsid w:val="00116AAE"/>
    <w:rsid w:val="001176AD"/>
    <w:rsid w:val="00117B88"/>
    <w:rsid w:val="00121469"/>
    <w:rsid w:val="00124A3F"/>
    <w:rsid w:val="001264BC"/>
    <w:rsid w:val="00126AF7"/>
    <w:rsid w:val="00130555"/>
    <w:rsid w:val="00130788"/>
    <w:rsid w:val="00131968"/>
    <w:rsid w:val="00137D2B"/>
    <w:rsid w:val="0014109C"/>
    <w:rsid w:val="001412D9"/>
    <w:rsid w:val="001418DB"/>
    <w:rsid w:val="00144C90"/>
    <w:rsid w:val="00145940"/>
    <w:rsid w:val="00146850"/>
    <w:rsid w:val="001511B1"/>
    <w:rsid w:val="00152D10"/>
    <w:rsid w:val="001556B9"/>
    <w:rsid w:val="00155F2F"/>
    <w:rsid w:val="00156EAC"/>
    <w:rsid w:val="00157279"/>
    <w:rsid w:val="0016098C"/>
    <w:rsid w:val="00163B63"/>
    <w:rsid w:val="0016673B"/>
    <w:rsid w:val="00166933"/>
    <w:rsid w:val="00173EEC"/>
    <w:rsid w:val="00174A8C"/>
    <w:rsid w:val="0017553C"/>
    <w:rsid w:val="001761E2"/>
    <w:rsid w:val="001767AA"/>
    <w:rsid w:val="00177FB5"/>
    <w:rsid w:val="001805F9"/>
    <w:rsid w:val="001863A2"/>
    <w:rsid w:val="00191024"/>
    <w:rsid w:val="001912A8"/>
    <w:rsid w:val="001914E9"/>
    <w:rsid w:val="0019497F"/>
    <w:rsid w:val="00197D5D"/>
    <w:rsid w:val="00197E61"/>
    <w:rsid w:val="001A18EB"/>
    <w:rsid w:val="001A1EA9"/>
    <w:rsid w:val="001A2BD4"/>
    <w:rsid w:val="001A342F"/>
    <w:rsid w:val="001A3C10"/>
    <w:rsid w:val="001A3CCF"/>
    <w:rsid w:val="001A4499"/>
    <w:rsid w:val="001A6AA4"/>
    <w:rsid w:val="001B0341"/>
    <w:rsid w:val="001B064D"/>
    <w:rsid w:val="001B222E"/>
    <w:rsid w:val="001B50E9"/>
    <w:rsid w:val="001B5153"/>
    <w:rsid w:val="001B5F9A"/>
    <w:rsid w:val="001B63D3"/>
    <w:rsid w:val="001B6E38"/>
    <w:rsid w:val="001B7975"/>
    <w:rsid w:val="001B7F6F"/>
    <w:rsid w:val="001C0785"/>
    <w:rsid w:val="001C3474"/>
    <w:rsid w:val="001C43D0"/>
    <w:rsid w:val="001C4D17"/>
    <w:rsid w:val="001C5361"/>
    <w:rsid w:val="001C6977"/>
    <w:rsid w:val="001C69C6"/>
    <w:rsid w:val="001C7584"/>
    <w:rsid w:val="001C78AB"/>
    <w:rsid w:val="001C7953"/>
    <w:rsid w:val="001D1D6A"/>
    <w:rsid w:val="001D1E8A"/>
    <w:rsid w:val="001D426E"/>
    <w:rsid w:val="001D5602"/>
    <w:rsid w:val="001E29E7"/>
    <w:rsid w:val="001E48C0"/>
    <w:rsid w:val="001E5466"/>
    <w:rsid w:val="001E65F0"/>
    <w:rsid w:val="001F1C01"/>
    <w:rsid w:val="001F2C0E"/>
    <w:rsid w:val="001F3ACE"/>
    <w:rsid w:val="001F3B95"/>
    <w:rsid w:val="001F3DEA"/>
    <w:rsid w:val="001F4E16"/>
    <w:rsid w:val="001F62A8"/>
    <w:rsid w:val="001F7DC8"/>
    <w:rsid w:val="00200CF2"/>
    <w:rsid w:val="00203D3D"/>
    <w:rsid w:val="002050BE"/>
    <w:rsid w:val="002068F5"/>
    <w:rsid w:val="00211071"/>
    <w:rsid w:val="00212149"/>
    <w:rsid w:val="00212F61"/>
    <w:rsid w:val="00214AFB"/>
    <w:rsid w:val="00215F13"/>
    <w:rsid w:val="00216974"/>
    <w:rsid w:val="0021763F"/>
    <w:rsid w:val="00217B30"/>
    <w:rsid w:val="0022028D"/>
    <w:rsid w:val="00221D48"/>
    <w:rsid w:val="002234E3"/>
    <w:rsid w:val="00224254"/>
    <w:rsid w:val="00224764"/>
    <w:rsid w:val="00225810"/>
    <w:rsid w:val="0022753F"/>
    <w:rsid w:val="002315E6"/>
    <w:rsid w:val="00233217"/>
    <w:rsid w:val="002334FA"/>
    <w:rsid w:val="002348A8"/>
    <w:rsid w:val="0023499A"/>
    <w:rsid w:val="0023579E"/>
    <w:rsid w:val="002362E6"/>
    <w:rsid w:val="0023667F"/>
    <w:rsid w:val="002374E1"/>
    <w:rsid w:val="00237FEA"/>
    <w:rsid w:val="00242E1C"/>
    <w:rsid w:val="00242E39"/>
    <w:rsid w:val="00242E82"/>
    <w:rsid w:val="0024336E"/>
    <w:rsid w:val="0024354C"/>
    <w:rsid w:val="002435EE"/>
    <w:rsid w:val="00244046"/>
    <w:rsid w:val="00246297"/>
    <w:rsid w:val="002475F2"/>
    <w:rsid w:val="002507F1"/>
    <w:rsid w:val="00250E29"/>
    <w:rsid w:val="00251CBA"/>
    <w:rsid w:val="00252F2F"/>
    <w:rsid w:val="00254329"/>
    <w:rsid w:val="00262869"/>
    <w:rsid w:val="00262C03"/>
    <w:rsid w:val="00264ED3"/>
    <w:rsid w:val="002658AE"/>
    <w:rsid w:val="00266400"/>
    <w:rsid w:val="0026646B"/>
    <w:rsid w:val="00266532"/>
    <w:rsid w:val="00266C91"/>
    <w:rsid w:val="00271341"/>
    <w:rsid w:val="002713F7"/>
    <w:rsid w:val="00271A98"/>
    <w:rsid w:val="002721AB"/>
    <w:rsid w:val="002721FC"/>
    <w:rsid w:val="00273F20"/>
    <w:rsid w:val="00274254"/>
    <w:rsid w:val="002755BA"/>
    <w:rsid w:val="002759FC"/>
    <w:rsid w:val="00275B62"/>
    <w:rsid w:val="00277A7E"/>
    <w:rsid w:val="00280406"/>
    <w:rsid w:val="0028263C"/>
    <w:rsid w:val="00282D44"/>
    <w:rsid w:val="0028439A"/>
    <w:rsid w:val="00284DA0"/>
    <w:rsid w:val="00285E5A"/>
    <w:rsid w:val="0028601E"/>
    <w:rsid w:val="00286C9D"/>
    <w:rsid w:val="0028773D"/>
    <w:rsid w:val="00287B75"/>
    <w:rsid w:val="002932F2"/>
    <w:rsid w:val="00294373"/>
    <w:rsid w:val="0029473E"/>
    <w:rsid w:val="00295ED5"/>
    <w:rsid w:val="00296AE9"/>
    <w:rsid w:val="00297B4C"/>
    <w:rsid w:val="002A048F"/>
    <w:rsid w:val="002A2A4F"/>
    <w:rsid w:val="002A3480"/>
    <w:rsid w:val="002A3AFD"/>
    <w:rsid w:val="002A4B64"/>
    <w:rsid w:val="002A673C"/>
    <w:rsid w:val="002A698D"/>
    <w:rsid w:val="002A77AD"/>
    <w:rsid w:val="002B19E6"/>
    <w:rsid w:val="002B1FB6"/>
    <w:rsid w:val="002B24C5"/>
    <w:rsid w:val="002B3122"/>
    <w:rsid w:val="002B4CAE"/>
    <w:rsid w:val="002B5C91"/>
    <w:rsid w:val="002B6182"/>
    <w:rsid w:val="002B7970"/>
    <w:rsid w:val="002B7E83"/>
    <w:rsid w:val="002C065B"/>
    <w:rsid w:val="002C0C13"/>
    <w:rsid w:val="002C1EC1"/>
    <w:rsid w:val="002C2A19"/>
    <w:rsid w:val="002C3651"/>
    <w:rsid w:val="002C4897"/>
    <w:rsid w:val="002C57A3"/>
    <w:rsid w:val="002C5BDE"/>
    <w:rsid w:val="002C650C"/>
    <w:rsid w:val="002C75C5"/>
    <w:rsid w:val="002C7CD2"/>
    <w:rsid w:val="002D1625"/>
    <w:rsid w:val="002D23E8"/>
    <w:rsid w:val="002D3218"/>
    <w:rsid w:val="002D4A5C"/>
    <w:rsid w:val="002D5584"/>
    <w:rsid w:val="002D5972"/>
    <w:rsid w:val="002D6F33"/>
    <w:rsid w:val="002E0346"/>
    <w:rsid w:val="002E0AFD"/>
    <w:rsid w:val="002E0F16"/>
    <w:rsid w:val="002E129A"/>
    <w:rsid w:val="002E4DFC"/>
    <w:rsid w:val="002E56F4"/>
    <w:rsid w:val="002E6339"/>
    <w:rsid w:val="002E63D6"/>
    <w:rsid w:val="002E7ED1"/>
    <w:rsid w:val="002F0CBA"/>
    <w:rsid w:val="002F1D4C"/>
    <w:rsid w:val="002F1E00"/>
    <w:rsid w:val="002F2C5C"/>
    <w:rsid w:val="002F36D3"/>
    <w:rsid w:val="002F4CC4"/>
    <w:rsid w:val="002F62E5"/>
    <w:rsid w:val="002F6DF7"/>
    <w:rsid w:val="002F7E03"/>
    <w:rsid w:val="00302469"/>
    <w:rsid w:val="00303BF3"/>
    <w:rsid w:val="00305967"/>
    <w:rsid w:val="0030752E"/>
    <w:rsid w:val="0031038F"/>
    <w:rsid w:val="00310BB1"/>
    <w:rsid w:val="00310F88"/>
    <w:rsid w:val="003129C3"/>
    <w:rsid w:val="0031363A"/>
    <w:rsid w:val="003140A0"/>
    <w:rsid w:val="00317B8E"/>
    <w:rsid w:val="003203D0"/>
    <w:rsid w:val="00321701"/>
    <w:rsid w:val="00322A12"/>
    <w:rsid w:val="00322E3A"/>
    <w:rsid w:val="0032308D"/>
    <w:rsid w:val="003275AA"/>
    <w:rsid w:val="00327E38"/>
    <w:rsid w:val="00330F16"/>
    <w:rsid w:val="00331026"/>
    <w:rsid w:val="003333C5"/>
    <w:rsid w:val="00333778"/>
    <w:rsid w:val="00334887"/>
    <w:rsid w:val="00334A5D"/>
    <w:rsid w:val="00335551"/>
    <w:rsid w:val="00335571"/>
    <w:rsid w:val="00336AE6"/>
    <w:rsid w:val="003376AD"/>
    <w:rsid w:val="003411D5"/>
    <w:rsid w:val="003423F8"/>
    <w:rsid w:val="003450A7"/>
    <w:rsid w:val="00345E21"/>
    <w:rsid w:val="00345F91"/>
    <w:rsid w:val="00346CBA"/>
    <w:rsid w:val="0035084E"/>
    <w:rsid w:val="003524AD"/>
    <w:rsid w:val="00352AF3"/>
    <w:rsid w:val="00354505"/>
    <w:rsid w:val="0035519F"/>
    <w:rsid w:val="00355DFB"/>
    <w:rsid w:val="00356453"/>
    <w:rsid w:val="00357B9B"/>
    <w:rsid w:val="00357FA2"/>
    <w:rsid w:val="0036041E"/>
    <w:rsid w:val="0036208D"/>
    <w:rsid w:val="00363206"/>
    <w:rsid w:val="003639E2"/>
    <w:rsid w:val="00363CF9"/>
    <w:rsid w:val="00365226"/>
    <w:rsid w:val="003653EB"/>
    <w:rsid w:val="00366A1C"/>
    <w:rsid w:val="0037194F"/>
    <w:rsid w:val="00372FD6"/>
    <w:rsid w:val="00377281"/>
    <w:rsid w:val="00377774"/>
    <w:rsid w:val="00377B2D"/>
    <w:rsid w:val="00381A4A"/>
    <w:rsid w:val="003867B7"/>
    <w:rsid w:val="00387375"/>
    <w:rsid w:val="003875EB"/>
    <w:rsid w:val="00387795"/>
    <w:rsid w:val="00387E52"/>
    <w:rsid w:val="00390B48"/>
    <w:rsid w:val="00390F44"/>
    <w:rsid w:val="003927D9"/>
    <w:rsid w:val="003929A5"/>
    <w:rsid w:val="00394ED7"/>
    <w:rsid w:val="0039573B"/>
    <w:rsid w:val="00396194"/>
    <w:rsid w:val="0039746D"/>
    <w:rsid w:val="00397922"/>
    <w:rsid w:val="003A2F50"/>
    <w:rsid w:val="003B1635"/>
    <w:rsid w:val="003B1720"/>
    <w:rsid w:val="003B1BC1"/>
    <w:rsid w:val="003B36E5"/>
    <w:rsid w:val="003B611E"/>
    <w:rsid w:val="003C0478"/>
    <w:rsid w:val="003C13CF"/>
    <w:rsid w:val="003C3EA3"/>
    <w:rsid w:val="003C5583"/>
    <w:rsid w:val="003D0C81"/>
    <w:rsid w:val="003D1130"/>
    <w:rsid w:val="003D2573"/>
    <w:rsid w:val="003D44C1"/>
    <w:rsid w:val="003D6A0A"/>
    <w:rsid w:val="003D704D"/>
    <w:rsid w:val="003E1840"/>
    <w:rsid w:val="003E3B51"/>
    <w:rsid w:val="003E3B76"/>
    <w:rsid w:val="003E4449"/>
    <w:rsid w:val="003E52C7"/>
    <w:rsid w:val="003E6FFF"/>
    <w:rsid w:val="003F1FD5"/>
    <w:rsid w:val="003F255F"/>
    <w:rsid w:val="003F35AB"/>
    <w:rsid w:val="003F39D2"/>
    <w:rsid w:val="003F46A4"/>
    <w:rsid w:val="003F650E"/>
    <w:rsid w:val="003F6FCB"/>
    <w:rsid w:val="003F7E98"/>
    <w:rsid w:val="00400C30"/>
    <w:rsid w:val="00401208"/>
    <w:rsid w:val="00403E26"/>
    <w:rsid w:val="00405924"/>
    <w:rsid w:val="004059EA"/>
    <w:rsid w:val="004072BA"/>
    <w:rsid w:val="0040773C"/>
    <w:rsid w:val="004079AF"/>
    <w:rsid w:val="004107F6"/>
    <w:rsid w:val="004110C0"/>
    <w:rsid w:val="004118E9"/>
    <w:rsid w:val="0041319A"/>
    <w:rsid w:val="004144A5"/>
    <w:rsid w:val="00415071"/>
    <w:rsid w:val="00416BC9"/>
    <w:rsid w:val="00417019"/>
    <w:rsid w:val="0041710C"/>
    <w:rsid w:val="0041777D"/>
    <w:rsid w:val="00417EFB"/>
    <w:rsid w:val="00420CFE"/>
    <w:rsid w:val="00421563"/>
    <w:rsid w:val="0042200C"/>
    <w:rsid w:val="004228F7"/>
    <w:rsid w:val="00423DE3"/>
    <w:rsid w:val="00425A0F"/>
    <w:rsid w:val="00425ABB"/>
    <w:rsid w:val="00425D75"/>
    <w:rsid w:val="00426A33"/>
    <w:rsid w:val="00430706"/>
    <w:rsid w:val="00430D01"/>
    <w:rsid w:val="00430F67"/>
    <w:rsid w:val="0043187D"/>
    <w:rsid w:val="00431A85"/>
    <w:rsid w:val="004328D9"/>
    <w:rsid w:val="00433570"/>
    <w:rsid w:val="0043373D"/>
    <w:rsid w:val="004347B8"/>
    <w:rsid w:val="00434B3B"/>
    <w:rsid w:val="00434EBD"/>
    <w:rsid w:val="00435C17"/>
    <w:rsid w:val="00435CB1"/>
    <w:rsid w:val="00436858"/>
    <w:rsid w:val="0043719D"/>
    <w:rsid w:val="004430BB"/>
    <w:rsid w:val="00443976"/>
    <w:rsid w:val="00443C35"/>
    <w:rsid w:val="00445194"/>
    <w:rsid w:val="00445C94"/>
    <w:rsid w:val="004469AA"/>
    <w:rsid w:val="0045029F"/>
    <w:rsid w:val="00451157"/>
    <w:rsid w:val="0045308C"/>
    <w:rsid w:val="00455C87"/>
    <w:rsid w:val="00456A9B"/>
    <w:rsid w:val="00456AD5"/>
    <w:rsid w:val="0045785C"/>
    <w:rsid w:val="004579EC"/>
    <w:rsid w:val="00463DF3"/>
    <w:rsid w:val="00464C54"/>
    <w:rsid w:val="004703A5"/>
    <w:rsid w:val="0047115B"/>
    <w:rsid w:val="00471A1F"/>
    <w:rsid w:val="004725DA"/>
    <w:rsid w:val="00473936"/>
    <w:rsid w:val="004741B2"/>
    <w:rsid w:val="00475048"/>
    <w:rsid w:val="00475585"/>
    <w:rsid w:val="00476778"/>
    <w:rsid w:val="00481F85"/>
    <w:rsid w:val="00484B8C"/>
    <w:rsid w:val="0048538A"/>
    <w:rsid w:val="00485B93"/>
    <w:rsid w:val="00490B92"/>
    <w:rsid w:val="00494296"/>
    <w:rsid w:val="0049496C"/>
    <w:rsid w:val="00495D4A"/>
    <w:rsid w:val="00495E48"/>
    <w:rsid w:val="004970D7"/>
    <w:rsid w:val="00497A93"/>
    <w:rsid w:val="004A12D1"/>
    <w:rsid w:val="004A1F9C"/>
    <w:rsid w:val="004A25C1"/>
    <w:rsid w:val="004A4D92"/>
    <w:rsid w:val="004A57FA"/>
    <w:rsid w:val="004A7BA9"/>
    <w:rsid w:val="004B0BE0"/>
    <w:rsid w:val="004B0FE9"/>
    <w:rsid w:val="004B25CF"/>
    <w:rsid w:val="004B278A"/>
    <w:rsid w:val="004B3247"/>
    <w:rsid w:val="004B5016"/>
    <w:rsid w:val="004B57CA"/>
    <w:rsid w:val="004B664E"/>
    <w:rsid w:val="004C10F7"/>
    <w:rsid w:val="004C1C6A"/>
    <w:rsid w:val="004C2E82"/>
    <w:rsid w:val="004C34D9"/>
    <w:rsid w:val="004C5841"/>
    <w:rsid w:val="004D0859"/>
    <w:rsid w:val="004D139D"/>
    <w:rsid w:val="004D13C8"/>
    <w:rsid w:val="004D23CB"/>
    <w:rsid w:val="004D329A"/>
    <w:rsid w:val="004D39D8"/>
    <w:rsid w:val="004D6445"/>
    <w:rsid w:val="004D6BBA"/>
    <w:rsid w:val="004D6E15"/>
    <w:rsid w:val="004D7A7B"/>
    <w:rsid w:val="004E3D8A"/>
    <w:rsid w:val="004E4007"/>
    <w:rsid w:val="004E5240"/>
    <w:rsid w:val="004E53B1"/>
    <w:rsid w:val="004E5BD7"/>
    <w:rsid w:val="004E7460"/>
    <w:rsid w:val="004F08D8"/>
    <w:rsid w:val="004F1123"/>
    <w:rsid w:val="004F369C"/>
    <w:rsid w:val="004F5383"/>
    <w:rsid w:val="004F5751"/>
    <w:rsid w:val="004F71DE"/>
    <w:rsid w:val="00500752"/>
    <w:rsid w:val="00501842"/>
    <w:rsid w:val="005021AA"/>
    <w:rsid w:val="00502286"/>
    <w:rsid w:val="005126B0"/>
    <w:rsid w:val="00513D0F"/>
    <w:rsid w:val="005141BA"/>
    <w:rsid w:val="00514D9A"/>
    <w:rsid w:val="0051624A"/>
    <w:rsid w:val="005168C4"/>
    <w:rsid w:val="00522567"/>
    <w:rsid w:val="005234CB"/>
    <w:rsid w:val="005256FD"/>
    <w:rsid w:val="005267C0"/>
    <w:rsid w:val="005322C6"/>
    <w:rsid w:val="00532BC2"/>
    <w:rsid w:val="00534BFE"/>
    <w:rsid w:val="005353CB"/>
    <w:rsid w:val="0053568E"/>
    <w:rsid w:val="005369E3"/>
    <w:rsid w:val="00540E81"/>
    <w:rsid w:val="005423A0"/>
    <w:rsid w:val="0054271C"/>
    <w:rsid w:val="00544BC1"/>
    <w:rsid w:val="00544CF1"/>
    <w:rsid w:val="00552FAA"/>
    <w:rsid w:val="005539DE"/>
    <w:rsid w:val="00556CB0"/>
    <w:rsid w:val="0056203B"/>
    <w:rsid w:val="00563469"/>
    <w:rsid w:val="005639FC"/>
    <w:rsid w:val="00563DC1"/>
    <w:rsid w:val="0056440B"/>
    <w:rsid w:val="00564E98"/>
    <w:rsid w:val="0056737E"/>
    <w:rsid w:val="00567B5C"/>
    <w:rsid w:val="0057317D"/>
    <w:rsid w:val="00576B94"/>
    <w:rsid w:val="00577E61"/>
    <w:rsid w:val="00580027"/>
    <w:rsid w:val="00581E29"/>
    <w:rsid w:val="00582239"/>
    <w:rsid w:val="00582251"/>
    <w:rsid w:val="00583B67"/>
    <w:rsid w:val="00583DED"/>
    <w:rsid w:val="00584B49"/>
    <w:rsid w:val="00585136"/>
    <w:rsid w:val="0058521E"/>
    <w:rsid w:val="00585791"/>
    <w:rsid w:val="0058639B"/>
    <w:rsid w:val="00586A0E"/>
    <w:rsid w:val="00587484"/>
    <w:rsid w:val="00587C9B"/>
    <w:rsid w:val="005906B2"/>
    <w:rsid w:val="0059197A"/>
    <w:rsid w:val="00591CE3"/>
    <w:rsid w:val="0059201D"/>
    <w:rsid w:val="00593CFA"/>
    <w:rsid w:val="00596615"/>
    <w:rsid w:val="005A16DB"/>
    <w:rsid w:val="005A1914"/>
    <w:rsid w:val="005A37EB"/>
    <w:rsid w:val="005A4825"/>
    <w:rsid w:val="005B12E8"/>
    <w:rsid w:val="005B15BB"/>
    <w:rsid w:val="005B1A24"/>
    <w:rsid w:val="005B3713"/>
    <w:rsid w:val="005B43E5"/>
    <w:rsid w:val="005B4CF7"/>
    <w:rsid w:val="005B5155"/>
    <w:rsid w:val="005B5FCA"/>
    <w:rsid w:val="005B729C"/>
    <w:rsid w:val="005C295D"/>
    <w:rsid w:val="005C5F13"/>
    <w:rsid w:val="005C6742"/>
    <w:rsid w:val="005D10A4"/>
    <w:rsid w:val="005D490E"/>
    <w:rsid w:val="005E014C"/>
    <w:rsid w:val="005E030E"/>
    <w:rsid w:val="005E109C"/>
    <w:rsid w:val="005E15A8"/>
    <w:rsid w:val="005E2666"/>
    <w:rsid w:val="005E283B"/>
    <w:rsid w:val="005E5119"/>
    <w:rsid w:val="005E5F30"/>
    <w:rsid w:val="005E7493"/>
    <w:rsid w:val="005F4450"/>
    <w:rsid w:val="005F576D"/>
    <w:rsid w:val="005F578A"/>
    <w:rsid w:val="006000E4"/>
    <w:rsid w:val="00600413"/>
    <w:rsid w:val="006012F6"/>
    <w:rsid w:val="00604319"/>
    <w:rsid w:val="0060569F"/>
    <w:rsid w:val="00605B66"/>
    <w:rsid w:val="00605E88"/>
    <w:rsid w:val="00610406"/>
    <w:rsid w:val="00610DDF"/>
    <w:rsid w:val="00611EA7"/>
    <w:rsid w:val="00614CE8"/>
    <w:rsid w:val="00614F60"/>
    <w:rsid w:val="0061513F"/>
    <w:rsid w:val="0061614E"/>
    <w:rsid w:val="00621710"/>
    <w:rsid w:val="00624387"/>
    <w:rsid w:val="0062512E"/>
    <w:rsid w:val="00625A9B"/>
    <w:rsid w:val="00627D63"/>
    <w:rsid w:val="00630403"/>
    <w:rsid w:val="006338AD"/>
    <w:rsid w:val="006341D9"/>
    <w:rsid w:val="00634C20"/>
    <w:rsid w:val="00634EA7"/>
    <w:rsid w:val="006353A8"/>
    <w:rsid w:val="00640DB4"/>
    <w:rsid w:val="006427AC"/>
    <w:rsid w:val="00646C87"/>
    <w:rsid w:val="0065068F"/>
    <w:rsid w:val="00650C3B"/>
    <w:rsid w:val="006513FB"/>
    <w:rsid w:val="00651574"/>
    <w:rsid w:val="006525EE"/>
    <w:rsid w:val="0065354B"/>
    <w:rsid w:val="00653632"/>
    <w:rsid w:val="00656E2F"/>
    <w:rsid w:val="00657541"/>
    <w:rsid w:val="00661088"/>
    <w:rsid w:val="00661F87"/>
    <w:rsid w:val="00662D32"/>
    <w:rsid w:val="006647CC"/>
    <w:rsid w:val="0066517D"/>
    <w:rsid w:val="00666D05"/>
    <w:rsid w:val="0066782D"/>
    <w:rsid w:val="00667EE9"/>
    <w:rsid w:val="00670027"/>
    <w:rsid w:val="0067067A"/>
    <w:rsid w:val="00674D60"/>
    <w:rsid w:val="00675691"/>
    <w:rsid w:val="00675EED"/>
    <w:rsid w:val="006819C5"/>
    <w:rsid w:val="006819EA"/>
    <w:rsid w:val="00681D4B"/>
    <w:rsid w:val="00690D06"/>
    <w:rsid w:val="00690F1B"/>
    <w:rsid w:val="00694D4A"/>
    <w:rsid w:val="0069569B"/>
    <w:rsid w:val="0069612F"/>
    <w:rsid w:val="006A2C1E"/>
    <w:rsid w:val="006A306D"/>
    <w:rsid w:val="006A4D07"/>
    <w:rsid w:val="006A4DF9"/>
    <w:rsid w:val="006A5A16"/>
    <w:rsid w:val="006A5FB0"/>
    <w:rsid w:val="006B027A"/>
    <w:rsid w:val="006B1024"/>
    <w:rsid w:val="006B1038"/>
    <w:rsid w:val="006B3490"/>
    <w:rsid w:val="006B635C"/>
    <w:rsid w:val="006B65EC"/>
    <w:rsid w:val="006C0D17"/>
    <w:rsid w:val="006C31C0"/>
    <w:rsid w:val="006C49AE"/>
    <w:rsid w:val="006C78EE"/>
    <w:rsid w:val="006C7995"/>
    <w:rsid w:val="006D0FEF"/>
    <w:rsid w:val="006D17C5"/>
    <w:rsid w:val="006D37D1"/>
    <w:rsid w:val="006D39B2"/>
    <w:rsid w:val="006D53F4"/>
    <w:rsid w:val="006D621C"/>
    <w:rsid w:val="006D63E4"/>
    <w:rsid w:val="006D684F"/>
    <w:rsid w:val="006D6EE4"/>
    <w:rsid w:val="006D7016"/>
    <w:rsid w:val="006D7E5C"/>
    <w:rsid w:val="006E3230"/>
    <w:rsid w:val="006E3F43"/>
    <w:rsid w:val="006E47DF"/>
    <w:rsid w:val="006E49D0"/>
    <w:rsid w:val="006E4ED0"/>
    <w:rsid w:val="006E515B"/>
    <w:rsid w:val="006E55AD"/>
    <w:rsid w:val="006E5884"/>
    <w:rsid w:val="006E70DB"/>
    <w:rsid w:val="006F074B"/>
    <w:rsid w:val="006F2993"/>
    <w:rsid w:val="0070125A"/>
    <w:rsid w:val="007029F1"/>
    <w:rsid w:val="00703713"/>
    <w:rsid w:val="00705A7A"/>
    <w:rsid w:val="00705D02"/>
    <w:rsid w:val="00707102"/>
    <w:rsid w:val="00707CAA"/>
    <w:rsid w:val="0071018E"/>
    <w:rsid w:val="00710FBF"/>
    <w:rsid w:val="0071224B"/>
    <w:rsid w:val="0071247C"/>
    <w:rsid w:val="007141FE"/>
    <w:rsid w:val="00714716"/>
    <w:rsid w:val="00715220"/>
    <w:rsid w:val="00715414"/>
    <w:rsid w:val="00716E9C"/>
    <w:rsid w:val="007202E5"/>
    <w:rsid w:val="00723C43"/>
    <w:rsid w:val="00726EA5"/>
    <w:rsid w:val="007278A0"/>
    <w:rsid w:val="00727CFA"/>
    <w:rsid w:val="007301F6"/>
    <w:rsid w:val="00730528"/>
    <w:rsid w:val="00732BCB"/>
    <w:rsid w:val="007400F6"/>
    <w:rsid w:val="00742D91"/>
    <w:rsid w:val="00742FC2"/>
    <w:rsid w:val="007442D6"/>
    <w:rsid w:val="00745CB3"/>
    <w:rsid w:val="00746883"/>
    <w:rsid w:val="00751A7A"/>
    <w:rsid w:val="00751BC6"/>
    <w:rsid w:val="007522A0"/>
    <w:rsid w:val="0075244C"/>
    <w:rsid w:val="00752DFA"/>
    <w:rsid w:val="0075524A"/>
    <w:rsid w:val="00762B1A"/>
    <w:rsid w:val="00764B85"/>
    <w:rsid w:val="00766712"/>
    <w:rsid w:val="00770713"/>
    <w:rsid w:val="00771B1F"/>
    <w:rsid w:val="00771B2D"/>
    <w:rsid w:val="00772663"/>
    <w:rsid w:val="007726C0"/>
    <w:rsid w:val="00776BBC"/>
    <w:rsid w:val="00776CD0"/>
    <w:rsid w:val="00777446"/>
    <w:rsid w:val="007821B9"/>
    <w:rsid w:val="007828C7"/>
    <w:rsid w:val="00784896"/>
    <w:rsid w:val="007848A9"/>
    <w:rsid w:val="00786D5B"/>
    <w:rsid w:val="007878B0"/>
    <w:rsid w:val="007911A7"/>
    <w:rsid w:val="00793EE5"/>
    <w:rsid w:val="00795C07"/>
    <w:rsid w:val="00796505"/>
    <w:rsid w:val="007966F3"/>
    <w:rsid w:val="007A3223"/>
    <w:rsid w:val="007A44F2"/>
    <w:rsid w:val="007A4512"/>
    <w:rsid w:val="007B107F"/>
    <w:rsid w:val="007B1937"/>
    <w:rsid w:val="007B2AB8"/>
    <w:rsid w:val="007B3128"/>
    <w:rsid w:val="007B379F"/>
    <w:rsid w:val="007B396A"/>
    <w:rsid w:val="007B3BF6"/>
    <w:rsid w:val="007B3DD6"/>
    <w:rsid w:val="007B4FBF"/>
    <w:rsid w:val="007B61DB"/>
    <w:rsid w:val="007B63AC"/>
    <w:rsid w:val="007C08A2"/>
    <w:rsid w:val="007C3DBE"/>
    <w:rsid w:val="007C4315"/>
    <w:rsid w:val="007C45A7"/>
    <w:rsid w:val="007C5C94"/>
    <w:rsid w:val="007C6DBA"/>
    <w:rsid w:val="007C7BE4"/>
    <w:rsid w:val="007D41CC"/>
    <w:rsid w:val="007D518A"/>
    <w:rsid w:val="007D68E1"/>
    <w:rsid w:val="007D6972"/>
    <w:rsid w:val="007E0238"/>
    <w:rsid w:val="007E2A26"/>
    <w:rsid w:val="007E4254"/>
    <w:rsid w:val="007E4AAE"/>
    <w:rsid w:val="007E50EC"/>
    <w:rsid w:val="007E5604"/>
    <w:rsid w:val="007E715D"/>
    <w:rsid w:val="007E77D8"/>
    <w:rsid w:val="007E7AC7"/>
    <w:rsid w:val="007F0638"/>
    <w:rsid w:val="007F0812"/>
    <w:rsid w:val="007F0D6C"/>
    <w:rsid w:val="007F1043"/>
    <w:rsid w:val="007F1222"/>
    <w:rsid w:val="007F17BF"/>
    <w:rsid w:val="007F23BF"/>
    <w:rsid w:val="007F31A4"/>
    <w:rsid w:val="007F3CCC"/>
    <w:rsid w:val="007F4C53"/>
    <w:rsid w:val="008002E4"/>
    <w:rsid w:val="00800BE2"/>
    <w:rsid w:val="00801808"/>
    <w:rsid w:val="008025E6"/>
    <w:rsid w:val="00805190"/>
    <w:rsid w:val="00806D48"/>
    <w:rsid w:val="00810B66"/>
    <w:rsid w:val="00813E6E"/>
    <w:rsid w:val="00814B2B"/>
    <w:rsid w:val="00814D55"/>
    <w:rsid w:val="00816407"/>
    <w:rsid w:val="0081641D"/>
    <w:rsid w:val="00821047"/>
    <w:rsid w:val="00821D2E"/>
    <w:rsid w:val="00822006"/>
    <w:rsid w:val="00822671"/>
    <w:rsid w:val="00824626"/>
    <w:rsid w:val="008260ED"/>
    <w:rsid w:val="0082618F"/>
    <w:rsid w:val="00827A6F"/>
    <w:rsid w:val="00827F27"/>
    <w:rsid w:val="0083016F"/>
    <w:rsid w:val="00832ED4"/>
    <w:rsid w:val="00833478"/>
    <w:rsid w:val="00834544"/>
    <w:rsid w:val="00834A1E"/>
    <w:rsid w:val="0083509E"/>
    <w:rsid w:val="00835FC3"/>
    <w:rsid w:val="00836825"/>
    <w:rsid w:val="00836D3A"/>
    <w:rsid w:val="00836DC1"/>
    <w:rsid w:val="00840FCD"/>
    <w:rsid w:val="00841D78"/>
    <w:rsid w:val="00842A6F"/>
    <w:rsid w:val="0084302C"/>
    <w:rsid w:val="00844740"/>
    <w:rsid w:val="00844DF8"/>
    <w:rsid w:val="00845BAC"/>
    <w:rsid w:val="00846C46"/>
    <w:rsid w:val="00847CDD"/>
    <w:rsid w:val="00850431"/>
    <w:rsid w:val="008533E5"/>
    <w:rsid w:val="00856C16"/>
    <w:rsid w:val="0086281A"/>
    <w:rsid w:val="00862940"/>
    <w:rsid w:val="0086307A"/>
    <w:rsid w:val="00870F54"/>
    <w:rsid w:val="00877F4B"/>
    <w:rsid w:val="00880524"/>
    <w:rsid w:val="00880D2D"/>
    <w:rsid w:val="00881FDA"/>
    <w:rsid w:val="00882330"/>
    <w:rsid w:val="008831C7"/>
    <w:rsid w:val="00883FC7"/>
    <w:rsid w:val="00884967"/>
    <w:rsid w:val="008858FC"/>
    <w:rsid w:val="00886633"/>
    <w:rsid w:val="00886D7E"/>
    <w:rsid w:val="00886E89"/>
    <w:rsid w:val="00890108"/>
    <w:rsid w:val="00892311"/>
    <w:rsid w:val="00892562"/>
    <w:rsid w:val="00892B0D"/>
    <w:rsid w:val="008932A1"/>
    <w:rsid w:val="00894EF3"/>
    <w:rsid w:val="00895583"/>
    <w:rsid w:val="008957ED"/>
    <w:rsid w:val="00896754"/>
    <w:rsid w:val="008A11E8"/>
    <w:rsid w:val="008A7719"/>
    <w:rsid w:val="008A78F8"/>
    <w:rsid w:val="008A7DAD"/>
    <w:rsid w:val="008B07C8"/>
    <w:rsid w:val="008B1E46"/>
    <w:rsid w:val="008B34AE"/>
    <w:rsid w:val="008B5762"/>
    <w:rsid w:val="008B6768"/>
    <w:rsid w:val="008B7C48"/>
    <w:rsid w:val="008C2410"/>
    <w:rsid w:val="008C398F"/>
    <w:rsid w:val="008C4BA7"/>
    <w:rsid w:val="008C5756"/>
    <w:rsid w:val="008C70C6"/>
    <w:rsid w:val="008C76D1"/>
    <w:rsid w:val="008D6570"/>
    <w:rsid w:val="008E07FB"/>
    <w:rsid w:val="008E17EA"/>
    <w:rsid w:val="008E25DD"/>
    <w:rsid w:val="008E34EB"/>
    <w:rsid w:val="008E3B08"/>
    <w:rsid w:val="008E4D97"/>
    <w:rsid w:val="008F2A28"/>
    <w:rsid w:val="008F2E2A"/>
    <w:rsid w:val="008F38A2"/>
    <w:rsid w:val="008F54B9"/>
    <w:rsid w:val="008F63E1"/>
    <w:rsid w:val="008F764E"/>
    <w:rsid w:val="008F7AED"/>
    <w:rsid w:val="008F7EAB"/>
    <w:rsid w:val="00900E3C"/>
    <w:rsid w:val="00903027"/>
    <w:rsid w:val="0090492E"/>
    <w:rsid w:val="00906EBC"/>
    <w:rsid w:val="00907053"/>
    <w:rsid w:val="0091097E"/>
    <w:rsid w:val="009112C3"/>
    <w:rsid w:val="0091177F"/>
    <w:rsid w:val="00912851"/>
    <w:rsid w:val="00913068"/>
    <w:rsid w:val="009149AE"/>
    <w:rsid w:val="00914DBE"/>
    <w:rsid w:val="00915449"/>
    <w:rsid w:val="009154F4"/>
    <w:rsid w:val="009155D8"/>
    <w:rsid w:val="009164B2"/>
    <w:rsid w:val="009165A2"/>
    <w:rsid w:val="00916669"/>
    <w:rsid w:val="009222FC"/>
    <w:rsid w:val="009226C7"/>
    <w:rsid w:val="00924548"/>
    <w:rsid w:val="00927166"/>
    <w:rsid w:val="00930CF7"/>
    <w:rsid w:val="009315D2"/>
    <w:rsid w:val="00931C3E"/>
    <w:rsid w:val="0093243F"/>
    <w:rsid w:val="00933359"/>
    <w:rsid w:val="009336F9"/>
    <w:rsid w:val="00933856"/>
    <w:rsid w:val="00933B90"/>
    <w:rsid w:val="0093405D"/>
    <w:rsid w:val="00934E9C"/>
    <w:rsid w:val="00934EA9"/>
    <w:rsid w:val="00940E83"/>
    <w:rsid w:val="009419CE"/>
    <w:rsid w:val="0094216D"/>
    <w:rsid w:val="00943D97"/>
    <w:rsid w:val="009454D3"/>
    <w:rsid w:val="00946094"/>
    <w:rsid w:val="009461A6"/>
    <w:rsid w:val="009461DB"/>
    <w:rsid w:val="00947021"/>
    <w:rsid w:val="00952372"/>
    <w:rsid w:val="00953CD8"/>
    <w:rsid w:val="00954F66"/>
    <w:rsid w:val="00962478"/>
    <w:rsid w:val="009648B1"/>
    <w:rsid w:val="00966E62"/>
    <w:rsid w:val="00971DF8"/>
    <w:rsid w:val="00971EA8"/>
    <w:rsid w:val="0097288B"/>
    <w:rsid w:val="00972BC4"/>
    <w:rsid w:val="00972FF7"/>
    <w:rsid w:val="00973E85"/>
    <w:rsid w:val="00975A95"/>
    <w:rsid w:val="00976722"/>
    <w:rsid w:val="00976F5C"/>
    <w:rsid w:val="00981219"/>
    <w:rsid w:val="00982465"/>
    <w:rsid w:val="00986810"/>
    <w:rsid w:val="00986ADD"/>
    <w:rsid w:val="00987877"/>
    <w:rsid w:val="00992F02"/>
    <w:rsid w:val="009932CE"/>
    <w:rsid w:val="0099375A"/>
    <w:rsid w:val="00993AD4"/>
    <w:rsid w:val="00994BCE"/>
    <w:rsid w:val="00996B0B"/>
    <w:rsid w:val="00997F12"/>
    <w:rsid w:val="009A15E4"/>
    <w:rsid w:val="009A22BE"/>
    <w:rsid w:val="009A4934"/>
    <w:rsid w:val="009A55FE"/>
    <w:rsid w:val="009A6F7A"/>
    <w:rsid w:val="009B24FC"/>
    <w:rsid w:val="009B3158"/>
    <w:rsid w:val="009B3D1B"/>
    <w:rsid w:val="009B4D95"/>
    <w:rsid w:val="009B60DA"/>
    <w:rsid w:val="009C2236"/>
    <w:rsid w:val="009C2580"/>
    <w:rsid w:val="009C2703"/>
    <w:rsid w:val="009C3512"/>
    <w:rsid w:val="009C6DFF"/>
    <w:rsid w:val="009C7DCE"/>
    <w:rsid w:val="009D220C"/>
    <w:rsid w:val="009D3A74"/>
    <w:rsid w:val="009D602E"/>
    <w:rsid w:val="009D61D1"/>
    <w:rsid w:val="009D6AAF"/>
    <w:rsid w:val="009D6C9D"/>
    <w:rsid w:val="009E1E8D"/>
    <w:rsid w:val="009E2237"/>
    <w:rsid w:val="009E371E"/>
    <w:rsid w:val="009E414A"/>
    <w:rsid w:val="009E5DCC"/>
    <w:rsid w:val="009E6A7E"/>
    <w:rsid w:val="009E728E"/>
    <w:rsid w:val="009E7503"/>
    <w:rsid w:val="009E7571"/>
    <w:rsid w:val="009F09ED"/>
    <w:rsid w:val="009F107B"/>
    <w:rsid w:val="009F1510"/>
    <w:rsid w:val="009F20D2"/>
    <w:rsid w:val="009F2A9A"/>
    <w:rsid w:val="009F2F9C"/>
    <w:rsid w:val="009F3DCC"/>
    <w:rsid w:val="009F4D8F"/>
    <w:rsid w:val="009F5EE4"/>
    <w:rsid w:val="009F65A2"/>
    <w:rsid w:val="009F7335"/>
    <w:rsid w:val="00A00050"/>
    <w:rsid w:val="00A00437"/>
    <w:rsid w:val="00A0295C"/>
    <w:rsid w:val="00A02E0A"/>
    <w:rsid w:val="00A03299"/>
    <w:rsid w:val="00A04BFC"/>
    <w:rsid w:val="00A06726"/>
    <w:rsid w:val="00A06A96"/>
    <w:rsid w:val="00A0741E"/>
    <w:rsid w:val="00A07DD2"/>
    <w:rsid w:val="00A14322"/>
    <w:rsid w:val="00A14FD1"/>
    <w:rsid w:val="00A16076"/>
    <w:rsid w:val="00A170B7"/>
    <w:rsid w:val="00A17A72"/>
    <w:rsid w:val="00A201EB"/>
    <w:rsid w:val="00A22A19"/>
    <w:rsid w:val="00A22BF3"/>
    <w:rsid w:val="00A2443D"/>
    <w:rsid w:val="00A24A20"/>
    <w:rsid w:val="00A25275"/>
    <w:rsid w:val="00A27FE6"/>
    <w:rsid w:val="00A302C4"/>
    <w:rsid w:val="00A361DE"/>
    <w:rsid w:val="00A44A1F"/>
    <w:rsid w:val="00A457F7"/>
    <w:rsid w:val="00A47F3B"/>
    <w:rsid w:val="00A500A3"/>
    <w:rsid w:val="00A509C2"/>
    <w:rsid w:val="00A5195A"/>
    <w:rsid w:val="00A524A5"/>
    <w:rsid w:val="00A52977"/>
    <w:rsid w:val="00A52F46"/>
    <w:rsid w:val="00A538F8"/>
    <w:rsid w:val="00A53A9D"/>
    <w:rsid w:val="00A56303"/>
    <w:rsid w:val="00A56B51"/>
    <w:rsid w:val="00A57948"/>
    <w:rsid w:val="00A61E6E"/>
    <w:rsid w:val="00A63210"/>
    <w:rsid w:val="00A65543"/>
    <w:rsid w:val="00A65D1C"/>
    <w:rsid w:val="00A67979"/>
    <w:rsid w:val="00A7251F"/>
    <w:rsid w:val="00A7296D"/>
    <w:rsid w:val="00A741E2"/>
    <w:rsid w:val="00A74F2E"/>
    <w:rsid w:val="00A75E31"/>
    <w:rsid w:val="00A763C5"/>
    <w:rsid w:val="00A76C54"/>
    <w:rsid w:val="00A77955"/>
    <w:rsid w:val="00A82D94"/>
    <w:rsid w:val="00A84336"/>
    <w:rsid w:val="00A844D9"/>
    <w:rsid w:val="00A86A5E"/>
    <w:rsid w:val="00A87610"/>
    <w:rsid w:val="00A90A06"/>
    <w:rsid w:val="00A90C3F"/>
    <w:rsid w:val="00A90D1A"/>
    <w:rsid w:val="00A92F31"/>
    <w:rsid w:val="00A940BF"/>
    <w:rsid w:val="00A942C0"/>
    <w:rsid w:val="00A94AFB"/>
    <w:rsid w:val="00A94CAD"/>
    <w:rsid w:val="00A960EF"/>
    <w:rsid w:val="00A961A9"/>
    <w:rsid w:val="00A968AC"/>
    <w:rsid w:val="00A96F82"/>
    <w:rsid w:val="00AA032D"/>
    <w:rsid w:val="00AA1DAB"/>
    <w:rsid w:val="00AA585D"/>
    <w:rsid w:val="00AB25B6"/>
    <w:rsid w:val="00AB295D"/>
    <w:rsid w:val="00AB3D87"/>
    <w:rsid w:val="00AB52A5"/>
    <w:rsid w:val="00AB6E52"/>
    <w:rsid w:val="00AB71AA"/>
    <w:rsid w:val="00AB7481"/>
    <w:rsid w:val="00AB74D4"/>
    <w:rsid w:val="00AC0267"/>
    <w:rsid w:val="00AC0FC4"/>
    <w:rsid w:val="00AC2445"/>
    <w:rsid w:val="00AC251B"/>
    <w:rsid w:val="00AC3987"/>
    <w:rsid w:val="00AC4171"/>
    <w:rsid w:val="00AC5491"/>
    <w:rsid w:val="00AC5E80"/>
    <w:rsid w:val="00AC7259"/>
    <w:rsid w:val="00AC747D"/>
    <w:rsid w:val="00AD1057"/>
    <w:rsid w:val="00AD1059"/>
    <w:rsid w:val="00AD189B"/>
    <w:rsid w:val="00AD33F9"/>
    <w:rsid w:val="00AD4CC1"/>
    <w:rsid w:val="00AD5F01"/>
    <w:rsid w:val="00AD642B"/>
    <w:rsid w:val="00AD6C5F"/>
    <w:rsid w:val="00AD7A2F"/>
    <w:rsid w:val="00AE1D55"/>
    <w:rsid w:val="00AE22D1"/>
    <w:rsid w:val="00AE3F51"/>
    <w:rsid w:val="00AE5471"/>
    <w:rsid w:val="00AE59BC"/>
    <w:rsid w:val="00AE7228"/>
    <w:rsid w:val="00AE7B2D"/>
    <w:rsid w:val="00AF12F8"/>
    <w:rsid w:val="00AF1A42"/>
    <w:rsid w:val="00AF2D6E"/>
    <w:rsid w:val="00AF4506"/>
    <w:rsid w:val="00AF4B46"/>
    <w:rsid w:val="00AF4C53"/>
    <w:rsid w:val="00AF55CB"/>
    <w:rsid w:val="00AF6400"/>
    <w:rsid w:val="00B01CB0"/>
    <w:rsid w:val="00B03624"/>
    <w:rsid w:val="00B04DDC"/>
    <w:rsid w:val="00B06E6B"/>
    <w:rsid w:val="00B102C1"/>
    <w:rsid w:val="00B10C14"/>
    <w:rsid w:val="00B11931"/>
    <w:rsid w:val="00B13106"/>
    <w:rsid w:val="00B13BD9"/>
    <w:rsid w:val="00B1419D"/>
    <w:rsid w:val="00B16401"/>
    <w:rsid w:val="00B174F9"/>
    <w:rsid w:val="00B22C5B"/>
    <w:rsid w:val="00B23391"/>
    <w:rsid w:val="00B23C0C"/>
    <w:rsid w:val="00B25774"/>
    <w:rsid w:val="00B26E8B"/>
    <w:rsid w:val="00B26F85"/>
    <w:rsid w:val="00B276BE"/>
    <w:rsid w:val="00B31C12"/>
    <w:rsid w:val="00B33720"/>
    <w:rsid w:val="00B33A2C"/>
    <w:rsid w:val="00B33BD6"/>
    <w:rsid w:val="00B3599E"/>
    <w:rsid w:val="00B35A9E"/>
    <w:rsid w:val="00B37D68"/>
    <w:rsid w:val="00B42403"/>
    <w:rsid w:val="00B43B1C"/>
    <w:rsid w:val="00B465CF"/>
    <w:rsid w:val="00B46949"/>
    <w:rsid w:val="00B471EE"/>
    <w:rsid w:val="00B50B35"/>
    <w:rsid w:val="00B51D3E"/>
    <w:rsid w:val="00B52136"/>
    <w:rsid w:val="00B53123"/>
    <w:rsid w:val="00B5666F"/>
    <w:rsid w:val="00B5695A"/>
    <w:rsid w:val="00B61B3E"/>
    <w:rsid w:val="00B62769"/>
    <w:rsid w:val="00B62CAD"/>
    <w:rsid w:val="00B631E2"/>
    <w:rsid w:val="00B66F04"/>
    <w:rsid w:val="00B67AD7"/>
    <w:rsid w:val="00B71CF5"/>
    <w:rsid w:val="00B74EB3"/>
    <w:rsid w:val="00B804D8"/>
    <w:rsid w:val="00B805DA"/>
    <w:rsid w:val="00B81F5A"/>
    <w:rsid w:val="00B820AF"/>
    <w:rsid w:val="00B82668"/>
    <w:rsid w:val="00B827F2"/>
    <w:rsid w:val="00B82C1E"/>
    <w:rsid w:val="00B82D14"/>
    <w:rsid w:val="00B82E4A"/>
    <w:rsid w:val="00B83933"/>
    <w:rsid w:val="00B83C1D"/>
    <w:rsid w:val="00B87295"/>
    <w:rsid w:val="00B910BD"/>
    <w:rsid w:val="00B913D2"/>
    <w:rsid w:val="00B92E61"/>
    <w:rsid w:val="00B9514C"/>
    <w:rsid w:val="00B955D7"/>
    <w:rsid w:val="00BA1781"/>
    <w:rsid w:val="00BA1E4C"/>
    <w:rsid w:val="00BA24D9"/>
    <w:rsid w:val="00BA2D0F"/>
    <w:rsid w:val="00BA3218"/>
    <w:rsid w:val="00BA429A"/>
    <w:rsid w:val="00BA5D39"/>
    <w:rsid w:val="00BB0983"/>
    <w:rsid w:val="00BB2E48"/>
    <w:rsid w:val="00BB44D1"/>
    <w:rsid w:val="00BB75A4"/>
    <w:rsid w:val="00BC0D79"/>
    <w:rsid w:val="00BC17A6"/>
    <w:rsid w:val="00BC2376"/>
    <w:rsid w:val="00BC3122"/>
    <w:rsid w:val="00BC3975"/>
    <w:rsid w:val="00BC3B8C"/>
    <w:rsid w:val="00BD2A97"/>
    <w:rsid w:val="00BD44E4"/>
    <w:rsid w:val="00BD5046"/>
    <w:rsid w:val="00BD5F32"/>
    <w:rsid w:val="00BE25B4"/>
    <w:rsid w:val="00BE3785"/>
    <w:rsid w:val="00BE3876"/>
    <w:rsid w:val="00BE42CF"/>
    <w:rsid w:val="00BE5611"/>
    <w:rsid w:val="00BE5E34"/>
    <w:rsid w:val="00BE6B32"/>
    <w:rsid w:val="00BF06EC"/>
    <w:rsid w:val="00BF0A4B"/>
    <w:rsid w:val="00BF280B"/>
    <w:rsid w:val="00BF5AE3"/>
    <w:rsid w:val="00C03A34"/>
    <w:rsid w:val="00C047DC"/>
    <w:rsid w:val="00C04F6A"/>
    <w:rsid w:val="00C06FAF"/>
    <w:rsid w:val="00C073FC"/>
    <w:rsid w:val="00C077CD"/>
    <w:rsid w:val="00C106E9"/>
    <w:rsid w:val="00C11AE9"/>
    <w:rsid w:val="00C13966"/>
    <w:rsid w:val="00C13AB6"/>
    <w:rsid w:val="00C1540A"/>
    <w:rsid w:val="00C15625"/>
    <w:rsid w:val="00C21133"/>
    <w:rsid w:val="00C22C84"/>
    <w:rsid w:val="00C24AC3"/>
    <w:rsid w:val="00C26332"/>
    <w:rsid w:val="00C27AE4"/>
    <w:rsid w:val="00C27CE4"/>
    <w:rsid w:val="00C30777"/>
    <w:rsid w:val="00C31235"/>
    <w:rsid w:val="00C316F4"/>
    <w:rsid w:val="00C31753"/>
    <w:rsid w:val="00C404A8"/>
    <w:rsid w:val="00C440B5"/>
    <w:rsid w:val="00C44A52"/>
    <w:rsid w:val="00C46E10"/>
    <w:rsid w:val="00C5162B"/>
    <w:rsid w:val="00C52517"/>
    <w:rsid w:val="00C52983"/>
    <w:rsid w:val="00C52DC4"/>
    <w:rsid w:val="00C53FD5"/>
    <w:rsid w:val="00C560FE"/>
    <w:rsid w:val="00C5736C"/>
    <w:rsid w:val="00C604A2"/>
    <w:rsid w:val="00C60B15"/>
    <w:rsid w:val="00C60B3E"/>
    <w:rsid w:val="00C60C68"/>
    <w:rsid w:val="00C6234E"/>
    <w:rsid w:val="00C62E29"/>
    <w:rsid w:val="00C70735"/>
    <w:rsid w:val="00C720DF"/>
    <w:rsid w:val="00C72E39"/>
    <w:rsid w:val="00C72F87"/>
    <w:rsid w:val="00C74C95"/>
    <w:rsid w:val="00C82443"/>
    <w:rsid w:val="00C824DF"/>
    <w:rsid w:val="00C85212"/>
    <w:rsid w:val="00C91490"/>
    <w:rsid w:val="00C958B3"/>
    <w:rsid w:val="00C958CA"/>
    <w:rsid w:val="00C96799"/>
    <w:rsid w:val="00CA06AE"/>
    <w:rsid w:val="00CA12B8"/>
    <w:rsid w:val="00CA3920"/>
    <w:rsid w:val="00CA4380"/>
    <w:rsid w:val="00CA614C"/>
    <w:rsid w:val="00CA7689"/>
    <w:rsid w:val="00CA7D5C"/>
    <w:rsid w:val="00CB2D92"/>
    <w:rsid w:val="00CB3DB0"/>
    <w:rsid w:val="00CB5622"/>
    <w:rsid w:val="00CB5BA1"/>
    <w:rsid w:val="00CC2F5E"/>
    <w:rsid w:val="00CC33FA"/>
    <w:rsid w:val="00CC40B7"/>
    <w:rsid w:val="00CC6B14"/>
    <w:rsid w:val="00CD230E"/>
    <w:rsid w:val="00CD2CA1"/>
    <w:rsid w:val="00CD3418"/>
    <w:rsid w:val="00CD70FB"/>
    <w:rsid w:val="00CE0365"/>
    <w:rsid w:val="00CE1C6E"/>
    <w:rsid w:val="00CE1D74"/>
    <w:rsid w:val="00CE3660"/>
    <w:rsid w:val="00CF31BA"/>
    <w:rsid w:val="00CF3CCD"/>
    <w:rsid w:val="00CF49D0"/>
    <w:rsid w:val="00CF51B2"/>
    <w:rsid w:val="00CF6D3E"/>
    <w:rsid w:val="00CF7AD8"/>
    <w:rsid w:val="00D052A5"/>
    <w:rsid w:val="00D052FF"/>
    <w:rsid w:val="00D062FE"/>
    <w:rsid w:val="00D11BE4"/>
    <w:rsid w:val="00D121B7"/>
    <w:rsid w:val="00D12FE1"/>
    <w:rsid w:val="00D13442"/>
    <w:rsid w:val="00D136B7"/>
    <w:rsid w:val="00D15909"/>
    <w:rsid w:val="00D1598E"/>
    <w:rsid w:val="00D15BB1"/>
    <w:rsid w:val="00D17BA6"/>
    <w:rsid w:val="00D206C8"/>
    <w:rsid w:val="00D219FE"/>
    <w:rsid w:val="00D21A6E"/>
    <w:rsid w:val="00D235F8"/>
    <w:rsid w:val="00D23BF1"/>
    <w:rsid w:val="00D24393"/>
    <w:rsid w:val="00D2441E"/>
    <w:rsid w:val="00D2479B"/>
    <w:rsid w:val="00D24842"/>
    <w:rsid w:val="00D249F2"/>
    <w:rsid w:val="00D24F71"/>
    <w:rsid w:val="00D25245"/>
    <w:rsid w:val="00D2549A"/>
    <w:rsid w:val="00D263A6"/>
    <w:rsid w:val="00D275E8"/>
    <w:rsid w:val="00D313D8"/>
    <w:rsid w:val="00D32E44"/>
    <w:rsid w:val="00D34DDE"/>
    <w:rsid w:val="00D35B83"/>
    <w:rsid w:val="00D35FE1"/>
    <w:rsid w:val="00D36729"/>
    <w:rsid w:val="00D36AF4"/>
    <w:rsid w:val="00D36B2B"/>
    <w:rsid w:val="00D37182"/>
    <w:rsid w:val="00D401DD"/>
    <w:rsid w:val="00D41069"/>
    <w:rsid w:val="00D42CFC"/>
    <w:rsid w:val="00D44890"/>
    <w:rsid w:val="00D448D5"/>
    <w:rsid w:val="00D476D2"/>
    <w:rsid w:val="00D514B8"/>
    <w:rsid w:val="00D5423D"/>
    <w:rsid w:val="00D54C18"/>
    <w:rsid w:val="00D55D90"/>
    <w:rsid w:val="00D57796"/>
    <w:rsid w:val="00D62638"/>
    <w:rsid w:val="00D62B34"/>
    <w:rsid w:val="00D62D90"/>
    <w:rsid w:val="00D63961"/>
    <w:rsid w:val="00D63D41"/>
    <w:rsid w:val="00D6494A"/>
    <w:rsid w:val="00D651C2"/>
    <w:rsid w:val="00D677F6"/>
    <w:rsid w:val="00D71683"/>
    <w:rsid w:val="00D72417"/>
    <w:rsid w:val="00D73558"/>
    <w:rsid w:val="00D73C4E"/>
    <w:rsid w:val="00D74622"/>
    <w:rsid w:val="00D74A18"/>
    <w:rsid w:val="00D75460"/>
    <w:rsid w:val="00D763D7"/>
    <w:rsid w:val="00D77E15"/>
    <w:rsid w:val="00D806FF"/>
    <w:rsid w:val="00D80F9F"/>
    <w:rsid w:val="00D814A8"/>
    <w:rsid w:val="00D81B50"/>
    <w:rsid w:val="00D83160"/>
    <w:rsid w:val="00D845B6"/>
    <w:rsid w:val="00D84A94"/>
    <w:rsid w:val="00D84E4C"/>
    <w:rsid w:val="00D86069"/>
    <w:rsid w:val="00D8708D"/>
    <w:rsid w:val="00D909D3"/>
    <w:rsid w:val="00D91B84"/>
    <w:rsid w:val="00D9230E"/>
    <w:rsid w:val="00D93B92"/>
    <w:rsid w:val="00D93E8D"/>
    <w:rsid w:val="00D94DD5"/>
    <w:rsid w:val="00D95D54"/>
    <w:rsid w:val="00D9712B"/>
    <w:rsid w:val="00DA03F2"/>
    <w:rsid w:val="00DA048A"/>
    <w:rsid w:val="00DA311E"/>
    <w:rsid w:val="00DA32F1"/>
    <w:rsid w:val="00DA3DDA"/>
    <w:rsid w:val="00DA40A7"/>
    <w:rsid w:val="00DA44E9"/>
    <w:rsid w:val="00DA456B"/>
    <w:rsid w:val="00DA5CD8"/>
    <w:rsid w:val="00DA618D"/>
    <w:rsid w:val="00DA62DC"/>
    <w:rsid w:val="00DA72E3"/>
    <w:rsid w:val="00DB0E03"/>
    <w:rsid w:val="00DB416D"/>
    <w:rsid w:val="00DB630A"/>
    <w:rsid w:val="00DB6584"/>
    <w:rsid w:val="00DB76CB"/>
    <w:rsid w:val="00DC075C"/>
    <w:rsid w:val="00DC25EF"/>
    <w:rsid w:val="00DC38F3"/>
    <w:rsid w:val="00DC3C8B"/>
    <w:rsid w:val="00DC52F1"/>
    <w:rsid w:val="00DC6C1D"/>
    <w:rsid w:val="00DC7133"/>
    <w:rsid w:val="00DC7234"/>
    <w:rsid w:val="00DD03A1"/>
    <w:rsid w:val="00DD1EEA"/>
    <w:rsid w:val="00DD1F3D"/>
    <w:rsid w:val="00DD4B7C"/>
    <w:rsid w:val="00DD52A9"/>
    <w:rsid w:val="00DD6A0B"/>
    <w:rsid w:val="00DE03CB"/>
    <w:rsid w:val="00DE0C6C"/>
    <w:rsid w:val="00DE1EAC"/>
    <w:rsid w:val="00DE2F63"/>
    <w:rsid w:val="00DE46F4"/>
    <w:rsid w:val="00DE729E"/>
    <w:rsid w:val="00DF0AB2"/>
    <w:rsid w:val="00DF0D66"/>
    <w:rsid w:val="00DF143B"/>
    <w:rsid w:val="00DF2846"/>
    <w:rsid w:val="00DF2DC7"/>
    <w:rsid w:val="00DF4C5C"/>
    <w:rsid w:val="00E0153E"/>
    <w:rsid w:val="00E01D73"/>
    <w:rsid w:val="00E023AB"/>
    <w:rsid w:val="00E02DD6"/>
    <w:rsid w:val="00E0396F"/>
    <w:rsid w:val="00E044C6"/>
    <w:rsid w:val="00E06DD5"/>
    <w:rsid w:val="00E076EB"/>
    <w:rsid w:val="00E10918"/>
    <w:rsid w:val="00E1123B"/>
    <w:rsid w:val="00E11524"/>
    <w:rsid w:val="00E1375F"/>
    <w:rsid w:val="00E13F72"/>
    <w:rsid w:val="00E145C4"/>
    <w:rsid w:val="00E14A46"/>
    <w:rsid w:val="00E15F5A"/>
    <w:rsid w:val="00E16322"/>
    <w:rsid w:val="00E168AA"/>
    <w:rsid w:val="00E16F6A"/>
    <w:rsid w:val="00E20CFF"/>
    <w:rsid w:val="00E2184C"/>
    <w:rsid w:val="00E22A64"/>
    <w:rsid w:val="00E22D77"/>
    <w:rsid w:val="00E234B2"/>
    <w:rsid w:val="00E23AAF"/>
    <w:rsid w:val="00E2514F"/>
    <w:rsid w:val="00E251D7"/>
    <w:rsid w:val="00E27BA6"/>
    <w:rsid w:val="00E33557"/>
    <w:rsid w:val="00E336F7"/>
    <w:rsid w:val="00E35B54"/>
    <w:rsid w:val="00E35FCC"/>
    <w:rsid w:val="00E364D2"/>
    <w:rsid w:val="00E370E5"/>
    <w:rsid w:val="00E3733F"/>
    <w:rsid w:val="00E4297B"/>
    <w:rsid w:val="00E42C56"/>
    <w:rsid w:val="00E430C8"/>
    <w:rsid w:val="00E45A60"/>
    <w:rsid w:val="00E47EEF"/>
    <w:rsid w:val="00E52EA5"/>
    <w:rsid w:val="00E5445D"/>
    <w:rsid w:val="00E55259"/>
    <w:rsid w:val="00E5526E"/>
    <w:rsid w:val="00E55CDD"/>
    <w:rsid w:val="00E63964"/>
    <w:rsid w:val="00E64246"/>
    <w:rsid w:val="00E644C7"/>
    <w:rsid w:val="00E71BF1"/>
    <w:rsid w:val="00E724D4"/>
    <w:rsid w:val="00E75459"/>
    <w:rsid w:val="00E75FC3"/>
    <w:rsid w:val="00E80DD8"/>
    <w:rsid w:val="00E83DDD"/>
    <w:rsid w:val="00E84DEF"/>
    <w:rsid w:val="00E86928"/>
    <w:rsid w:val="00E87490"/>
    <w:rsid w:val="00E924B8"/>
    <w:rsid w:val="00E9330D"/>
    <w:rsid w:val="00E93DB1"/>
    <w:rsid w:val="00E943FB"/>
    <w:rsid w:val="00E9777D"/>
    <w:rsid w:val="00EA2287"/>
    <w:rsid w:val="00EA4449"/>
    <w:rsid w:val="00EA74CD"/>
    <w:rsid w:val="00EB1559"/>
    <w:rsid w:val="00EB202D"/>
    <w:rsid w:val="00EB46DD"/>
    <w:rsid w:val="00EB5D12"/>
    <w:rsid w:val="00EB6BC3"/>
    <w:rsid w:val="00EB726D"/>
    <w:rsid w:val="00EC347D"/>
    <w:rsid w:val="00EC4B90"/>
    <w:rsid w:val="00EC5189"/>
    <w:rsid w:val="00ED0957"/>
    <w:rsid w:val="00ED13C6"/>
    <w:rsid w:val="00ED1613"/>
    <w:rsid w:val="00ED28B3"/>
    <w:rsid w:val="00ED2DA4"/>
    <w:rsid w:val="00ED3E69"/>
    <w:rsid w:val="00ED53CA"/>
    <w:rsid w:val="00ED56ED"/>
    <w:rsid w:val="00ED5E70"/>
    <w:rsid w:val="00ED64B8"/>
    <w:rsid w:val="00ED7C71"/>
    <w:rsid w:val="00EE064D"/>
    <w:rsid w:val="00EE09BC"/>
    <w:rsid w:val="00EE0A80"/>
    <w:rsid w:val="00EE1610"/>
    <w:rsid w:val="00EE241F"/>
    <w:rsid w:val="00EE3D43"/>
    <w:rsid w:val="00EF1B89"/>
    <w:rsid w:val="00EF1CE6"/>
    <w:rsid w:val="00EF1E93"/>
    <w:rsid w:val="00EF2310"/>
    <w:rsid w:val="00EF5429"/>
    <w:rsid w:val="00EF5DE0"/>
    <w:rsid w:val="00EF671A"/>
    <w:rsid w:val="00EF6DE6"/>
    <w:rsid w:val="00F0029D"/>
    <w:rsid w:val="00F00A3F"/>
    <w:rsid w:val="00F011D3"/>
    <w:rsid w:val="00F02A3D"/>
    <w:rsid w:val="00F03555"/>
    <w:rsid w:val="00F048E7"/>
    <w:rsid w:val="00F0539C"/>
    <w:rsid w:val="00F05453"/>
    <w:rsid w:val="00F05C64"/>
    <w:rsid w:val="00F05D92"/>
    <w:rsid w:val="00F05DDE"/>
    <w:rsid w:val="00F07E7A"/>
    <w:rsid w:val="00F07EEC"/>
    <w:rsid w:val="00F07F5F"/>
    <w:rsid w:val="00F12CEC"/>
    <w:rsid w:val="00F13966"/>
    <w:rsid w:val="00F167BB"/>
    <w:rsid w:val="00F1759F"/>
    <w:rsid w:val="00F17A79"/>
    <w:rsid w:val="00F207E4"/>
    <w:rsid w:val="00F207ED"/>
    <w:rsid w:val="00F22242"/>
    <w:rsid w:val="00F240C2"/>
    <w:rsid w:val="00F25D48"/>
    <w:rsid w:val="00F26F58"/>
    <w:rsid w:val="00F27B5F"/>
    <w:rsid w:val="00F27D5D"/>
    <w:rsid w:val="00F3000D"/>
    <w:rsid w:val="00F31AFD"/>
    <w:rsid w:val="00F3216C"/>
    <w:rsid w:val="00F33C98"/>
    <w:rsid w:val="00F34D53"/>
    <w:rsid w:val="00F34E1D"/>
    <w:rsid w:val="00F36D7B"/>
    <w:rsid w:val="00F3718E"/>
    <w:rsid w:val="00F37C40"/>
    <w:rsid w:val="00F37CA4"/>
    <w:rsid w:val="00F42ACA"/>
    <w:rsid w:val="00F44019"/>
    <w:rsid w:val="00F4411A"/>
    <w:rsid w:val="00F45539"/>
    <w:rsid w:val="00F46D07"/>
    <w:rsid w:val="00F50A45"/>
    <w:rsid w:val="00F52CF0"/>
    <w:rsid w:val="00F53130"/>
    <w:rsid w:val="00F55C4C"/>
    <w:rsid w:val="00F56E2B"/>
    <w:rsid w:val="00F6081B"/>
    <w:rsid w:val="00F60AAB"/>
    <w:rsid w:val="00F60B20"/>
    <w:rsid w:val="00F61391"/>
    <w:rsid w:val="00F61620"/>
    <w:rsid w:val="00F61BFC"/>
    <w:rsid w:val="00F641C1"/>
    <w:rsid w:val="00F663B0"/>
    <w:rsid w:val="00F667EC"/>
    <w:rsid w:val="00F66B6C"/>
    <w:rsid w:val="00F67885"/>
    <w:rsid w:val="00F702F7"/>
    <w:rsid w:val="00F71762"/>
    <w:rsid w:val="00F71D02"/>
    <w:rsid w:val="00F721AA"/>
    <w:rsid w:val="00F7290F"/>
    <w:rsid w:val="00F75330"/>
    <w:rsid w:val="00F7561E"/>
    <w:rsid w:val="00F801FA"/>
    <w:rsid w:val="00F8091C"/>
    <w:rsid w:val="00F816AE"/>
    <w:rsid w:val="00F8220B"/>
    <w:rsid w:val="00F82E56"/>
    <w:rsid w:val="00F836DA"/>
    <w:rsid w:val="00F85E13"/>
    <w:rsid w:val="00F909DF"/>
    <w:rsid w:val="00F90E80"/>
    <w:rsid w:val="00F91036"/>
    <w:rsid w:val="00F97344"/>
    <w:rsid w:val="00FA030C"/>
    <w:rsid w:val="00FA03EF"/>
    <w:rsid w:val="00FA0C83"/>
    <w:rsid w:val="00FA0E57"/>
    <w:rsid w:val="00FA1B5F"/>
    <w:rsid w:val="00FA33AC"/>
    <w:rsid w:val="00FA3BA7"/>
    <w:rsid w:val="00FA4D40"/>
    <w:rsid w:val="00FA5677"/>
    <w:rsid w:val="00FA778E"/>
    <w:rsid w:val="00FB00CC"/>
    <w:rsid w:val="00FB0B24"/>
    <w:rsid w:val="00FB0C41"/>
    <w:rsid w:val="00FB0D71"/>
    <w:rsid w:val="00FB1EEA"/>
    <w:rsid w:val="00FB283E"/>
    <w:rsid w:val="00FB401C"/>
    <w:rsid w:val="00FB51F7"/>
    <w:rsid w:val="00FB5575"/>
    <w:rsid w:val="00FB6533"/>
    <w:rsid w:val="00FB6F56"/>
    <w:rsid w:val="00FB733C"/>
    <w:rsid w:val="00FC107B"/>
    <w:rsid w:val="00FC1239"/>
    <w:rsid w:val="00FC1C5C"/>
    <w:rsid w:val="00FC2EAE"/>
    <w:rsid w:val="00FC36B7"/>
    <w:rsid w:val="00FC3A86"/>
    <w:rsid w:val="00FC73CE"/>
    <w:rsid w:val="00FC78E5"/>
    <w:rsid w:val="00FC7BAA"/>
    <w:rsid w:val="00FD1B8E"/>
    <w:rsid w:val="00FD3794"/>
    <w:rsid w:val="00FD3CDF"/>
    <w:rsid w:val="00FD4671"/>
    <w:rsid w:val="00FE1387"/>
    <w:rsid w:val="00FE23D0"/>
    <w:rsid w:val="00FE2CD4"/>
    <w:rsid w:val="00FE3D47"/>
    <w:rsid w:val="00FE5A34"/>
    <w:rsid w:val="00FE7BF0"/>
    <w:rsid w:val="00FF0537"/>
    <w:rsid w:val="00FF0A01"/>
    <w:rsid w:val="00FF1B77"/>
    <w:rsid w:val="00FF1BB9"/>
    <w:rsid w:val="00FF29A2"/>
    <w:rsid w:val="00FF3D2E"/>
    <w:rsid w:val="00FF4EF0"/>
    <w:rsid w:val="00FF5889"/>
    <w:rsid w:val="00FF5893"/>
    <w:rsid w:val="00FF70FD"/>
    <w:rsid w:val="00FF7950"/>
    <w:rsid w:val="00FF7F8D"/>
  </w:rsids>
  <m:mathPr>
    <m:mathFont m:val="Garamon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c,#6cf,#002354,#c8f1ff"/>
      <o:colormenu v:ext="edit" fillcolor="none [3212]" stroke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1"/>
        <o:entry new="14" old="11"/>
        <o:entry new="15" old="11"/>
        <o:entry new="16" old="11"/>
        <o:entry new="17" old="11"/>
        <o:entry new="18" old="0"/>
        <o:entry new="19" old="0"/>
        <o:entry new="20" old="1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aliases w:val="KFPHeading"/>
    <w:qFormat/>
    <w:rsid w:val="00A57948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39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4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942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942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5234CB"/>
    <w:pPr>
      <w:shd w:val="solid" w:color="FFFFFF" w:fill="auto"/>
      <w:spacing w:before="90" w:after="90" w:line="240" w:lineRule="auto"/>
      <w:ind w:left="90" w:right="90"/>
      <w:jc w:val="both"/>
      <w:outlineLvl w:val="4"/>
    </w:pPr>
    <w:rPr>
      <w:rFonts w:ascii="Arial" w:eastAsia="Arial" w:hAnsi="Arial" w:cs="Arial"/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5234CB"/>
    <w:pPr>
      <w:shd w:val="solid" w:color="FFFFFF" w:fill="auto"/>
      <w:spacing w:before="90" w:after="90" w:line="240" w:lineRule="auto"/>
      <w:ind w:left="90" w:right="90"/>
      <w:jc w:val="both"/>
      <w:outlineLvl w:val="5"/>
    </w:pPr>
    <w:rPr>
      <w:rFonts w:ascii="Arial" w:eastAsia="Arial" w:hAnsi="Arial" w:cs="Arial"/>
      <w:b/>
      <w:bCs/>
      <w:color w:val="000000"/>
      <w:sz w:val="16"/>
      <w:shd w:val="solid" w:color="FFFFFF" w:fill="auto"/>
      <w:lang w:val="ru-RU" w:eastAsia="ru-RU"/>
    </w:rPr>
  </w:style>
  <w:style w:type="paragraph" w:styleId="Heading7">
    <w:name w:val="heading 7"/>
    <w:basedOn w:val="Normal"/>
    <w:next w:val="Normal"/>
    <w:link w:val="Heading7Char"/>
    <w:rsid w:val="005639FC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5639FC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5639FC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unhideWhenUsed/>
    <w:rsid w:val="00A5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422BD5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D529F4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D529F4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810D0C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01228F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01228F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6D5466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6D5466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6D546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03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94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9425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0942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5234CB"/>
    <w:rPr>
      <w:rFonts w:ascii="Arial" w:eastAsia="Arial" w:hAnsi="Arial" w:cs="Arial"/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5234CB"/>
    <w:rPr>
      <w:rFonts w:ascii="Arial" w:eastAsia="Arial" w:hAnsi="Arial" w:cs="Arial"/>
      <w:b/>
      <w:bCs/>
      <w:color w:val="000000"/>
      <w:sz w:val="16"/>
      <w:szCs w:val="22"/>
      <w:shd w:val="solid" w:color="FFFFFF" w:fill="auto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5639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563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63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A57948"/>
    <w:rPr>
      <w:rFonts w:ascii="Tahoma" w:hAnsi="Tahoma" w:cs="Tahoma"/>
      <w:sz w:val="16"/>
      <w:szCs w:val="16"/>
    </w:rPr>
  </w:style>
  <w:style w:type="character" w:customStyle="1" w:styleId="BalloonTextChare">
    <w:name w:val="Balloon Text Char"/>
    <w:basedOn w:val="DefaultParagraphFont"/>
    <w:uiPriority w:val="99"/>
    <w:semiHidden/>
    <w:rsid w:val="003E46EB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D31C12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D31C12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4700DD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92662C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AE49C1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AE49C1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AE49C1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semiHidden/>
    <w:rsid w:val="0062558F"/>
    <w:rPr>
      <w:rFonts w:ascii="Lucida Grande" w:hAnsi="Lucida Grande"/>
      <w:sz w:val="18"/>
      <w:szCs w:val="18"/>
    </w:rPr>
  </w:style>
  <w:style w:type="character" w:customStyle="1" w:styleId="BalloonTextCharf7">
    <w:name w:val="Balloon Text Char"/>
    <w:basedOn w:val="DefaultParagraphFont"/>
    <w:uiPriority w:val="99"/>
    <w:semiHidden/>
    <w:rsid w:val="00462A2F"/>
    <w:rPr>
      <w:rFonts w:ascii="Lucida Grande" w:hAnsi="Lucida Grande"/>
      <w:sz w:val="18"/>
      <w:szCs w:val="18"/>
    </w:rPr>
  </w:style>
  <w:style w:type="character" w:customStyle="1" w:styleId="BalloonTextCharf8">
    <w:name w:val="Balloon Text Char"/>
    <w:basedOn w:val="DefaultParagraphFont"/>
    <w:uiPriority w:val="99"/>
    <w:rsid w:val="00AA7B64"/>
    <w:rPr>
      <w:rFonts w:ascii="Lucida Grande" w:hAnsi="Lucida Grande"/>
      <w:sz w:val="18"/>
      <w:szCs w:val="18"/>
    </w:rPr>
  </w:style>
  <w:style w:type="paragraph" w:customStyle="1" w:styleId="H1">
    <w:name w:val="H1"/>
    <w:next w:val="Normal"/>
    <w:rsid w:val="008D2CBF"/>
    <w:pPr>
      <w:keepNext/>
      <w:suppressAutoHyphens/>
      <w:spacing w:after="720" w:line="48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customStyle="1" w:styleId="H2">
    <w:name w:val="H2"/>
    <w:basedOn w:val="H1"/>
    <w:qFormat/>
    <w:rsid w:val="003243A6"/>
    <w:pPr>
      <w:keepNext w:val="0"/>
      <w:spacing w:after="0"/>
      <w:jc w:val="left"/>
    </w:pPr>
  </w:style>
  <w:style w:type="paragraph" w:customStyle="1" w:styleId="H3">
    <w:name w:val="H3"/>
    <w:basedOn w:val="H2"/>
    <w:qFormat/>
    <w:rsid w:val="008D2CBF"/>
    <w:pPr>
      <w:ind w:firstLine="720"/>
    </w:pPr>
  </w:style>
  <w:style w:type="paragraph" w:customStyle="1" w:styleId="H4">
    <w:name w:val="H4"/>
    <w:basedOn w:val="H3"/>
    <w:qFormat/>
    <w:rsid w:val="008D2CBF"/>
    <w:rPr>
      <w:i/>
    </w:rPr>
  </w:style>
  <w:style w:type="paragraph" w:customStyle="1" w:styleId="H5">
    <w:name w:val="H5"/>
    <w:basedOn w:val="H4"/>
    <w:qFormat/>
    <w:rsid w:val="008D2CBF"/>
    <w:rPr>
      <w:b w:val="0"/>
    </w:rPr>
  </w:style>
  <w:style w:type="paragraph" w:customStyle="1" w:styleId="T1">
    <w:name w:val="T1"/>
    <w:basedOn w:val="Normal"/>
    <w:qFormat/>
    <w:rsid w:val="003243A6"/>
    <w:pPr>
      <w:spacing w:after="0" w:line="480" w:lineRule="auto"/>
      <w:ind w:firstLine="720"/>
    </w:pPr>
    <w:rPr>
      <w:rFonts w:ascii="Times New Roman" w:eastAsia="Times New Roman" w:hAnsi="Times New Roman" w:cs="Times New Roman"/>
    </w:rPr>
  </w:style>
  <w:style w:type="paragraph" w:customStyle="1" w:styleId="T2">
    <w:name w:val="T2"/>
    <w:basedOn w:val="Normal"/>
    <w:rsid w:val="003243A6"/>
    <w:pPr>
      <w:tabs>
        <w:tab w:val="left" w:pos="720"/>
        <w:tab w:val="left" w:leader="dot" w:pos="8280"/>
      </w:tabs>
      <w:suppressAutoHyphens/>
      <w:spacing w:after="0" w:line="48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aliases w:val="Proposal"/>
    <w:basedOn w:val="Normal"/>
    <w:next w:val="Normal"/>
    <w:autoRedefine/>
    <w:uiPriority w:val="39"/>
    <w:unhideWhenUsed/>
    <w:qFormat/>
    <w:rsid w:val="006A2C1E"/>
    <w:pPr>
      <w:tabs>
        <w:tab w:val="right" w:leader="dot" w:pos="4320"/>
        <w:tab w:val="right" w:leader="dot" w:pos="7920"/>
      </w:tabs>
      <w:spacing w:after="0" w:line="240" w:lineRule="auto"/>
      <w:ind w:right="432"/>
    </w:pPr>
    <w:rPr>
      <w:rFonts w:ascii="Times New Roman" w:eastAsia="Times New Roman" w:hAnsi="Times New Roman" w:cs="Times New Roman"/>
      <w:lang w:bidi="en-US"/>
    </w:rPr>
  </w:style>
  <w:style w:type="paragraph" w:styleId="TOC2">
    <w:name w:val="toc 2"/>
    <w:basedOn w:val="Normal"/>
    <w:next w:val="Normal"/>
    <w:autoRedefine/>
    <w:uiPriority w:val="39"/>
    <w:rsid w:val="003243A6"/>
    <w:pPr>
      <w:spacing w:after="240"/>
      <w:ind w:left="245"/>
    </w:pPr>
    <w:rPr>
      <w:rFonts w:ascii="Times New Roman" w:eastAsia="Times New Roman" w:hAnsi="Times New Roman" w:cs="Times New Roman"/>
    </w:rPr>
  </w:style>
  <w:style w:type="paragraph" w:styleId="TOC3">
    <w:name w:val="toc 3"/>
    <w:basedOn w:val="TOC2"/>
    <w:next w:val="Normal"/>
    <w:autoRedefine/>
    <w:uiPriority w:val="39"/>
    <w:rsid w:val="003243A6"/>
    <w:pPr>
      <w:tabs>
        <w:tab w:val="right" w:leader="dot" w:pos="7920"/>
      </w:tabs>
      <w:ind w:left="720"/>
    </w:pPr>
  </w:style>
  <w:style w:type="paragraph" w:styleId="TOC4">
    <w:name w:val="toc 4"/>
    <w:basedOn w:val="Normal"/>
    <w:next w:val="Normal"/>
    <w:autoRedefine/>
    <w:uiPriority w:val="39"/>
    <w:rsid w:val="00EE6757"/>
    <w:pPr>
      <w:spacing w:after="240"/>
      <w:ind w:left="2160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3243A6"/>
    <w:pPr>
      <w:spacing w:after="0"/>
      <w:ind w:left="960"/>
    </w:pPr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D645F7"/>
    <w:pPr>
      <w:tabs>
        <w:tab w:val="right" w:pos="8640"/>
      </w:tabs>
      <w:spacing w:after="240"/>
      <w:ind w:left="720"/>
    </w:pPr>
    <w:rPr>
      <w:rFonts w:ascii="Times New Roman" w:eastAsiaTheme="minorEastAsia" w:hAnsi="Times New Roman"/>
      <w:iCs/>
      <w:spacing w:val="-2"/>
    </w:rPr>
  </w:style>
  <w:style w:type="paragraph" w:styleId="ListParagraph">
    <w:name w:val="List Paragraph"/>
    <w:basedOn w:val="Normal"/>
    <w:uiPriority w:val="34"/>
    <w:qFormat/>
    <w:rsid w:val="00A579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A579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5794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948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579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579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A579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79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7666B"/>
    <w:rPr>
      <w:rFonts w:ascii="Trebuchet MS" w:hAnsi="Trebuchet MS"/>
      <w:color w:val="auto"/>
      <w:spacing w:val="0"/>
      <w:position w:val="6"/>
      <w:sz w:val="14"/>
      <w:vertAlign w:val="baseline"/>
    </w:rPr>
  </w:style>
  <w:style w:type="paragraph" w:styleId="NormalWeb">
    <w:name w:val="Normal (Web)"/>
    <w:basedOn w:val="Normal"/>
    <w:unhideWhenUsed/>
    <w:rsid w:val="00A5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948"/>
    <w:rPr>
      <w:b/>
      <w:bCs/>
    </w:rPr>
  </w:style>
  <w:style w:type="paragraph" w:styleId="Header">
    <w:name w:val="header"/>
    <w:basedOn w:val="Normal"/>
    <w:link w:val="HeaderChar"/>
    <w:rsid w:val="001418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418DB"/>
    <w:rPr>
      <w:sz w:val="22"/>
      <w:szCs w:val="22"/>
    </w:rPr>
  </w:style>
  <w:style w:type="paragraph" w:styleId="Footer">
    <w:name w:val="footer"/>
    <w:basedOn w:val="Normal"/>
    <w:link w:val="FooterChar"/>
    <w:rsid w:val="001418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418DB"/>
    <w:rPr>
      <w:sz w:val="22"/>
      <w:szCs w:val="22"/>
    </w:rPr>
  </w:style>
  <w:style w:type="character" w:styleId="PageNumber">
    <w:name w:val="page number"/>
    <w:basedOn w:val="DefaultParagraphFont"/>
    <w:rsid w:val="00F816AE"/>
    <w:rPr>
      <w:rFonts w:ascii="Trebuchet MS" w:hAnsi="Trebuchet MS"/>
      <w:color w:val="002354"/>
      <w:sz w:val="20"/>
    </w:rPr>
  </w:style>
  <w:style w:type="paragraph" w:customStyle="1" w:styleId="KFPSubheading">
    <w:name w:val="KFPSubheading"/>
    <w:basedOn w:val="Normal"/>
    <w:qFormat/>
    <w:rsid w:val="00D62D90"/>
    <w:pPr>
      <w:keepNext/>
      <w:spacing w:after="0"/>
    </w:pPr>
    <w:rPr>
      <w:rFonts w:ascii="Gotham-Bold" w:hAnsi="Gotham-Bold"/>
      <w:b/>
      <w:color w:val="0066CC"/>
    </w:rPr>
  </w:style>
  <w:style w:type="paragraph" w:customStyle="1" w:styleId="KFPParagraph2">
    <w:name w:val="KFPParagraph2"/>
    <w:basedOn w:val="Normal"/>
    <w:qFormat/>
    <w:rsid w:val="00912851"/>
    <w:pPr>
      <w:spacing w:after="0"/>
      <w:ind w:firstLine="288"/>
    </w:pPr>
    <w:rPr>
      <w:rFonts w:ascii="Trebuchet MS" w:hAnsi="Trebuchet MS"/>
      <w:sz w:val="20"/>
    </w:rPr>
  </w:style>
  <w:style w:type="paragraph" w:customStyle="1" w:styleId="KFPParagraph1">
    <w:name w:val="KFPParagraph1"/>
    <w:basedOn w:val="Normal"/>
    <w:qFormat/>
    <w:rsid w:val="00912851"/>
    <w:pPr>
      <w:spacing w:after="0"/>
    </w:pPr>
    <w:rPr>
      <w:rFonts w:ascii="Trebuchet MS" w:hAnsi="Trebuchet MS"/>
      <w:sz w:val="20"/>
    </w:rPr>
  </w:style>
  <w:style w:type="paragraph" w:customStyle="1" w:styleId="KFPBullet">
    <w:name w:val="KFPBullet"/>
    <w:basedOn w:val="Normal"/>
    <w:qFormat/>
    <w:rsid w:val="00BB2E48"/>
    <w:pPr>
      <w:spacing w:after="0"/>
      <w:ind w:left="720" w:hanging="360"/>
    </w:pPr>
    <w:rPr>
      <w:rFonts w:ascii="Trebuchet MS" w:hAnsi="Trebuchet MS"/>
      <w:sz w:val="20"/>
    </w:rPr>
  </w:style>
  <w:style w:type="paragraph" w:customStyle="1" w:styleId="KFPFigureCaption">
    <w:name w:val="KFPFigureCaption"/>
    <w:basedOn w:val="KFPSubheading"/>
    <w:qFormat/>
    <w:rsid w:val="00D62D90"/>
    <w:rPr>
      <w:rFonts w:ascii="Gotham-Book" w:hAnsi="Gotham-Book"/>
      <w:sz w:val="20"/>
    </w:rPr>
  </w:style>
  <w:style w:type="paragraph" w:customStyle="1" w:styleId="KFPSubSubHeading">
    <w:name w:val="KFPSubSubHeading"/>
    <w:basedOn w:val="Normal"/>
    <w:qFormat/>
    <w:rsid w:val="00D62D90"/>
    <w:pPr>
      <w:keepNext/>
      <w:spacing w:after="0"/>
    </w:pPr>
    <w:rPr>
      <w:rFonts w:ascii="Gotham-Medium" w:hAnsi="Gotham-Medium"/>
      <w:b/>
      <w:color w:val="0066CC"/>
      <w:sz w:val="20"/>
    </w:rPr>
  </w:style>
  <w:style w:type="paragraph" w:customStyle="1" w:styleId="KFPFootnote">
    <w:name w:val="KFPFootnote"/>
    <w:basedOn w:val="FootnoteText"/>
    <w:link w:val="KFPFootnoteChar"/>
    <w:qFormat/>
    <w:rsid w:val="00014A46"/>
    <w:rPr>
      <w:rFonts w:ascii="Trebuchet MS" w:hAnsi="Trebuchet MS"/>
      <w:sz w:val="14"/>
    </w:rPr>
  </w:style>
  <w:style w:type="character" w:customStyle="1" w:styleId="KFPFootnoteChar">
    <w:name w:val="KFPFootnote Char"/>
    <w:basedOn w:val="FootnoteTextChar"/>
    <w:link w:val="KFPFootnote"/>
    <w:rsid w:val="00014A46"/>
    <w:rPr>
      <w:rFonts w:ascii="Trebuchet MS" w:hAnsi="Trebuchet MS"/>
      <w:sz w:val="14"/>
      <w:szCs w:val="20"/>
    </w:rPr>
  </w:style>
  <w:style w:type="character" w:customStyle="1" w:styleId="text">
    <w:name w:val="text"/>
    <w:basedOn w:val="DefaultParagraphFont"/>
    <w:rsid w:val="00AB295D"/>
  </w:style>
  <w:style w:type="paragraph" w:customStyle="1" w:styleId="FreeForm">
    <w:name w:val="Free Form"/>
    <w:rsid w:val="00FF7950"/>
    <w:pPr>
      <w:spacing w:after="0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KFPHeading1">
    <w:name w:val="KFPHeading1"/>
    <w:basedOn w:val="KFPSubheading"/>
    <w:qFormat/>
    <w:rsid w:val="00D62D90"/>
    <w:pPr>
      <w:spacing w:before="2400"/>
    </w:pPr>
    <w:rPr>
      <w:sz w:val="44"/>
    </w:rPr>
  </w:style>
  <w:style w:type="character" w:customStyle="1" w:styleId="KFPCalloutText">
    <w:name w:val="KFPCalloutText"/>
    <w:basedOn w:val="DefaultParagraphFont"/>
    <w:rsid w:val="00D62D90"/>
    <w:rPr>
      <w:rFonts w:ascii="Gotham-Book" w:hAnsi="Gotham-Book"/>
      <w:color w:val="0066CC"/>
      <w:sz w:val="26"/>
    </w:rPr>
  </w:style>
  <w:style w:type="paragraph" w:customStyle="1" w:styleId="ColorfulGrid-Accent11">
    <w:name w:val="Colorful Grid - Accent 11"/>
    <w:autoRedefine/>
    <w:rsid w:val="00FF7950"/>
    <w:pPr>
      <w:spacing w:after="0"/>
    </w:pPr>
    <w:rPr>
      <w:rFonts w:ascii="Lucida Grande" w:eastAsia="ヒラギノ角ゴ Pro W3" w:hAnsi="Lucida Grande" w:cs="Times New Roman"/>
      <w:color w:val="000000"/>
      <w:sz w:val="22"/>
      <w:szCs w:val="20"/>
    </w:rPr>
  </w:style>
  <w:style w:type="paragraph" w:styleId="ListBullet">
    <w:name w:val="List Bullet"/>
    <w:rsid w:val="00FF7950"/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TimesNew">
    <w:name w:val="Times New"/>
    <w:basedOn w:val="Normal"/>
    <w:rsid w:val="00E364D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KFPBlockQuote">
    <w:name w:val="KFPBlockQuote"/>
    <w:basedOn w:val="KFPParagraph1"/>
    <w:qFormat/>
    <w:rsid w:val="00912851"/>
    <w:pPr>
      <w:spacing w:before="120" w:after="120"/>
      <w:ind w:left="288"/>
    </w:pPr>
    <w:rPr>
      <w:sz w:val="18"/>
    </w:rPr>
  </w:style>
  <w:style w:type="character" w:styleId="Hyperlink">
    <w:name w:val="Hyperlink"/>
    <w:basedOn w:val="DefaultParagraphFont"/>
    <w:uiPriority w:val="99"/>
    <w:rsid w:val="00E364D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rsid w:val="00E364D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364D2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rsid w:val="00E364D2"/>
    <w:rPr>
      <w:vertAlign w:val="superscript"/>
    </w:rPr>
  </w:style>
  <w:style w:type="paragraph" w:styleId="TOC6">
    <w:name w:val="toc 6"/>
    <w:basedOn w:val="Normal"/>
    <w:next w:val="Normal"/>
    <w:autoRedefine/>
    <w:rsid w:val="00E55CDD"/>
    <w:pPr>
      <w:ind w:left="1100"/>
    </w:pPr>
  </w:style>
  <w:style w:type="paragraph" w:styleId="TOC7">
    <w:name w:val="toc 7"/>
    <w:basedOn w:val="Normal"/>
    <w:next w:val="Normal"/>
    <w:autoRedefine/>
    <w:rsid w:val="00E55CDD"/>
    <w:pPr>
      <w:ind w:left="1320"/>
    </w:pPr>
  </w:style>
  <w:style w:type="paragraph" w:styleId="TOC8">
    <w:name w:val="toc 8"/>
    <w:basedOn w:val="Normal"/>
    <w:next w:val="Normal"/>
    <w:autoRedefine/>
    <w:rsid w:val="00E55CDD"/>
    <w:pPr>
      <w:ind w:left="1540"/>
    </w:pPr>
  </w:style>
  <w:style w:type="paragraph" w:styleId="TOC9">
    <w:name w:val="toc 9"/>
    <w:basedOn w:val="Normal"/>
    <w:next w:val="Normal"/>
    <w:autoRedefine/>
    <w:rsid w:val="00E55CDD"/>
    <w:pPr>
      <w:ind w:left="1760"/>
    </w:pPr>
  </w:style>
  <w:style w:type="paragraph" w:customStyle="1" w:styleId="StyleHeading1TimesNewRoman12ptAuto">
    <w:name w:val="Style Heading 1 + Times New Roman 12 pt Auto"/>
    <w:basedOn w:val="Heading1"/>
    <w:rsid w:val="00080398"/>
    <w:pPr>
      <w:spacing w:before="0" w:after="0"/>
      <w:ind w:left="720" w:hanging="720"/>
    </w:pPr>
    <w:rPr>
      <w:rFonts w:ascii="Times New Roman" w:hAnsi="Times New Roman"/>
      <w:kern w:val="0"/>
      <w:sz w:val="24"/>
      <w:szCs w:val="24"/>
    </w:rPr>
  </w:style>
  <w:style w:type="character" w:customStyle="1" w:styleId="body1">
    <w:name w:val="body1"/>
    <w:basedOn w:val="DefaultParagraphFont"/>
    <w:rsid w:val="00080398"/>
    <w:rPr>
      <w:rFonts w:ascii="Verdana" w:hAnsi="Verdana" w:hint="default"/>
      <w:sz w:val="20"/>
      <w:szCs w:val="20"/>
    </w:rPr>
  </w:style>
  <w:style w:type="paragraph" w:customStyle="1" w:styleId="KFPHeading4">
    <w:name w:val="KFPHeading4"/>
    <w:basedOn w:val="KFPParagraph2"/>
    <w:qFormat/>
    <w:rsid w:val="00916669"/>
    <w:pPr>
      <w:keepNext/>
    </w:pPr>
    <w:rPr>
      <w:color w:val="000090"/>
    </w:rPr>
  </w:style>
  <w:style w:type="character" w:customStyle="1" w:styleId="KFPSubSubSubHeading">
    <w:name w:val="KFPSubSubSubHeading"/>
    <w:basedOn w:val="DefaultParagraphFont"/>
    <w:rsid w:val="00C72F87"/>
    <w:rPr>
      <w:rFonts w:ascii="Gotham-Book" w:hAnsi="Gotham-Book"/>
      <w:color w:val="000090"/>
    </w:rPr>
  </w:style>
  <w:style w:type="character" w:customStyle="1" w:styleId="apple-style-span">
    <w:name w:val="apple-style-span"/>
    <w:basedOn w:val="DefaultParagraphFont"/>
    <w:rsid w:val="00094256"/>
  </w:style>
  <w:style w:type="character" w:customStyle="1" w:styleId="apple-converted-space">
    <w:name w:val="apple-converted-space"/>
    <w:basedOn w:val="DefaultParagraphFont"/>
    <w:rsid w:val="00094256"/>
  </w:style>
  <w:style w:type="paragraph" w:styleId="Revision">
    <w:name w:val="Revision"/>
    <w:hidden/>
    <w:uiPriority w:val="99"/>
    <w:rsid w:val="00094256"/>
    <w:pPr>
      <w:spacing w:after="0"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rsid w:val="00094256"/>
    <w:rPr>
      <w:color w:val="800080" w:themeColor="followedHyperlink"/>
      <w:u w:val="single"/>
    </w:rPr>
  </w:style>
  <w:style w:type="character" w:customStyle="1" w:styleId="Style12pt">
    <w:name w:val="Style 12 pt"/>
    <w:basedOn w:val="DefaultParagraphFont"/>
    <w:rsid w:val="00662D32"/>
    <w:rPr>
      <w:sz w:val="24"/>
    </w:rPr>
  </w:style>
  <w:style w:type="character" w:styleId="Emphasis">
    <w:name w:val="Emphasis"/>
    <w:basedOn w:val="DefaultParagraphFont"/>
    <w:uiPriority w:val="20"/>
    <w:qFormat/>
    <w:rsid w:val="00662D32"/>
    <w:rPr>
      <w:i/>
      <w:iCs/>
    </w:rPr>
  </w:style>
  <w:style w:type="paragraph" w:styleId="Caption">
    <w:name w:val="caption"/>
    <w:basedOn w:val="Normal"/>
    <w:next w:val="Normal"/>
    <w:uiPriority w:val="99"/>
    <w:qFormat/>
    <w:rsid w:val="00662D3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Img">
    <w:name w:val="Img"/>
    <w:basedOn w:val="Normal"/>
    <w:rsid w:val="005234CB"/>
    <w:pPr>
      <w:shd w:val="solid" w:color="FFFFFF" w:fill="auto"/>
      <w:spacing w:after="0" w:line="240" w:lineRule="auto"/>
      <w:jc w:val="both"/>
    </w:pPr>
    <w:rPr>
      <w:rFonts w:ascii="Calibri" w:eastAsia="Arial" w:hAnsi="Calibri" w:cs="Arial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5234CB"/>
    <w:pPr>
      <w:shd w:val="solid" w:color="FFFFFF" w:fill="auto"/>
      <w:spacing w:after="0" w:line="240" w:lineRule="auto"/>
      <w:jc w:val="both"/>
    </w:pPr>
    <w:rPr>
      <w:rFonts w:ascii="Calibri" w:eastAsia="Arial" w:hAnsi="Calibri" w:cs="Arial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BookTitle1">
    <w:name w:val="Book Title1"/>
    <w:uiPriority w:val="99"/>
    <w:qFormat/>
    <w:rsid w:val="00972FF7"/>
    <w:rPr>
      <w:rFonts w:ascii="Cambria" w:hAnsi="Cambria"/>
      <w:b/>
      <w:bCs/>
      <w:smallCaps/>
      <w:spacing w:val="5"/>
    </w:rPr>
  </w:style>
  <w:style w:type="paragraph" w:customStyle="1" w:styleId="AmyBelt1">
    <w:name w:val="AmyBelt1"/>
    <w:basedOn w:val="Normal"/>
    <w:qFormat/>
    <w:rsid w:val="0091097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myBelt2">
    <w:name w:val="AmyBelt2"/>
    <w:basedOn w:val="Normal"/>
    <w:qFormat/>
    <w:rsid w:val="00B62769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18"/>
    </w:rPr>
  </w:style>
  <w:style w:type="character" w:styleId="HTMLCite">
    <w:name w:val="HTML Cite"/>
    <w:basedOn w:val="DefaultParagraphFont"/>
    <w:uiPriority w:val="99"/>
    <w:rsid w:val="005639FC"/>
    <w:rPr>
      <w:i/>
    </w:rPr>
  </w:style>
  <w:style w:type="character" w:customStyle="1" w:styleId="KFPfigurereference">
    <w:name w:val="KFPfigure_reference"/>
    <w:basedOn w:val="KFPSubSubSubHeading"/>
    <w:rsid w:val="00D21A6E"/>
    <w:rPr>
      <w:rFonts w:ascii="Gotham-Book" w:hAnsi="Gotham-Book"/>
      <w:color w:val="000090"/>
    </w:rPr>
  </w:style>
  <w:style w:type="character" w:customStyle="1" w:styleId="ui-iconui-icon-calendar">
    <w:name w:val="ui-icon ui-icon-calendar"/>
    <w:basedOn w:val="DefaultParagraphFont"/>
    <w:rsid w:val="00F02A3D"/>
  </w:style>
  <w:style w:type="character" w:customStyle="1" w:styleId="org">
    <w:name w:val="org"/>
    <w:basedOn w:val="DefaultParagraphFont"/>
    <w:rsid w:val="00F02A3D"/>
  </w:style>
  <w:style w:type="character" w:customStyle="1" w:styleId="location">
    <w:name w:val="location"/>
    <w:basedOn w:val="DefaultParagraphFont"/>
    <w:rsid w:val="00F02A3D"/>
  </w:style>
  <w:style w:type="character" w:customStyle="1" w:styleId="person">
    <w:name w:val="person"/>
    <w:basedOn w:val="DefaultParagraphFont"/>
    <w:rsid w:val="00F02A3D"/>
  </w:style>
  <w:style w:type="paragraph" w:customStyle="1" w:styleId="leadin">
    <w:name w:val="leadin"/>
    <w:basedOn w:val="Normal"/>
    <w:rsid w:val="00F02A3D"/>
    <w:pPr>
      <w:spacing w:beforeLines="1" w:afterLines="1" w:line="240" w:lineRule="auto"/>
    </w:pPr>
    <w:rPr>
      <w:rFonts w:ascii="Times" w:eastAsia="Calibri" w:hAnsi="Times" w:cs="Courier"/>
      <w:sz w:val="20"/>
      <w:szCs w:val="20"/>
    </w:rPr>
  </w:style>
  <w:style w:type="character" w:customStyle="1" w:styleId="caption1">
    <w:name w:val="caption1"/>
    <w:basedOn w:val="DefaultParagraphFont"/>
    <w:rsid w:val="00F02A3D"/>
  </w:style>
  <w:style w:type="character" w:customStyle="1" w:styleId="PlainTextChar">
    <w:name w:val="Plain Text Char"/>
    <w:basedOn w:val="DefaultParagraphFont"/>
    <w:link w:val="PlainText"/>
    <w:uiPriority w:val="99"/>
    <w:rsid w:val="00BA429A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BA429A"/>
    <w:pPr>
      <w:spacing w:before="100" w:beforeAutospacing="1" w:after="0" w:afterAutospacing="1" w:line="240" w:lineRule="auto"/>
    </w:pPr>
    <w:rPr>
      <w:rFonts w:ascii="Consolas" w:hAnsi="Consolas" w:cs="Consolas"/>
      <w:sz w:val="21"/>
      <w:szCs w:val="21"/>
    </w:rPr>
  </w:style>
  <w:style w:type="paragraph" w:customStyle="1" w:styleId="Para">
    <w:name w:val="Para"/>
    <w:rsid w:val="004D39D8"/>
    <w:pPr>
      <w:suppressAutoHyphens/>
      <w:spacing w:after="120" w:line="480" w:lineRule="auto"/>
      <w:ind w:firstLine="720"/>
    </w:pPr>
    <w:rPr>
      <w:rFonts w:ascii="Georgia" w:eastAsia="Times New Roman" w:hAnsi="Georgia" w:cs="Times New Roman"/>
      <w:snapToGrid w:val="0"/>
    </w:rPr>
  </w:style>
  <w:style w:type="paragraph" w:customStyle="1" w:styleId="Default">
    <w:name w:val="Default"/>
    <w:rsid w:val="004D39D8"/>
    <w:pPr>
      <w:autoSpaceDE w:val="0"/>
      <w:autoSpaceDN w:val="0"/>
      <w:adjustRightInd w:val="0"/>
      <w:spacing w:after="0"/>
    </w:pPr>
    <w:rPr>
      <w:rFonts w:ascii="HelveticaNeueLT Std Blk" w:eastAsia="HelveticaNeueLT Std Blk" w:hAnsi="Calibri" w:cs="HelveticaNeueLT Std Blk"/>
      <w:color w:val="000000"/>
      <w:lang w:eastAsia="zh-CN"/>
    </w:rPr>
  </w:style>
  <w:style w:type="character" w:customStyle="1" w:styleId="A2">
    <w:name w:val="A2"/>
    <w:uiPriority w:val="99"/>
    <w:rsid w:val="004D39D8"/>
    <w:rPr>
      <w:rFonts w:cs="HelveticaNeueLT Std Blk"/>
      <w:b/>
      <w:bCs/>
      <w:color w:val="5F5160"/>
      <w:sz w:val="17"/>
      <w:szCs w:val="17"/>
    </w:rPr>
  </w:style>
  <w:style w:type="paragraph" w:customStyle="1" w:styleId="attribution">
    <w:name w:val="attribution"/>
    <w:basedOn w:val="Normal"/>
    <w:rsid w:val="004D39D8"/>
    <w:pPr>
      <w:spacing w:before="180" w:after="45" w:line="240" w:lineRule="auto"/>
    </w:pPr>
    <w:rPr>
      <w:rFonts w:ascii="Arial" w:eastAsia="Times New Roman" w:hAnsi="Arial" w:cs="Arial"/>
      <w:i/>
      <w:iCs/>
      <w:color w:val="666666"/>
      <w:sz w:val="17"/>
      <w:szCs w:val="17"/>
      <w:lang w:eastAsia="zh-CN"/>
    </w:rPr>
  </w:style>
  <w:style w:type="character" w:customStyle="1" w:styleId="bold1">
    <w:name w:val="bold1"/>
    <w:basedOn w:val="DefaultParagraphFont"/>
    <w:rsid w:val="004D39D8"/>
    <w:rPr>
      <w:b/>
      <w:bCs/>
    </w:rPr>
  </w:style>
  <w:style w:type="paragraph" w:customStyle="1" w:styleId="footnote">
    <w:name w:val="footnote"/>
    <w:basedOn w:val="attribution"/>
    <w:rsid w:val="004D39D8"/>
    <w:pPr>
      <w:textAlignment w:val="top"/>
    </w:pPr>
    <w:rPr>
      <w:color w:val="000000" w:themeColor="text1"/>
    </w:rPr>
  </w:style>
  <w:style w:type="character" w:customStyle="1" w:styleId="slug-doi">
    <w:name w:val="slug-doi"/>
    <w:basedOn w:val="DefaultParagraphFont"/>
    <w:rsid w:val="002843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aliases w:val="KFPHeading"/>
    <w:qFormat/>
    <w:rsid w:val="00A57948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39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4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942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942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5234CB"/>
    <w:pPr>
      <w:shd w:val="solid" w:color="FFFFFF" w:fill="auto"/>
      <w:spacing w:before="90" w:after="90" w:line="240" w:lineRule="auto"/>
      <w:ind w:left="90" w:right="90"/>
      <w:jc w:val="both"/>
      <w:outlineLvl w:val="4"/>
    </w:pPr>
    <w:rPr>
      <w:rFonts w:ascii="Arial" w:eastAsia="Arial" w:hAnsi="Arial" w:cs="Arial"/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5234CB"/>
    <w:pPr>
      <w:shd w:val="solid" w:color="FFFFFF" w:fill="auto"/>
      <w:spacing w:before="90" w:after="90" w:line="240" w:lineRule="auto"/>
      <w:ind w:left="90" w:right="90"/>
      <w:jc w:val="both"/>
      <w:outlineLvl w:val="5"/>
    </w:pPr>
    <w:rPr>
      <w:rFonts w:ascii="Arial" w:eastAsia="Arial" w:hAnsi="Arial" w:cs="Arial"/>
      <w:b/>
      <w:bCs/>
      <w:color w:val="000000"/>
      <w:sz w:val="16"/>
      <w:shd w:val="solid" w:color="FFFFFF" w:fill="auto"/>
      <w:lang w:val="ru-RU" w:eastAsia="ru-RU"/>
    </w:rPr>
  </w:style>
  <w:style w:type="paragraph" w:styleId="Heading7">
    <w:name w:val="heading 7"/>
    <w:basedOn w:val="Normal"/>
    <w:next w:val="Normal"/>
    <w:link w:val="Heading7Char"/>
    <w:rsid w:val="005639FC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5639FC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5639FC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unhideWhenUsed/>
    <w:rsid w:val="00A5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E23F3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422BD5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D529F4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D529F4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810D0C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01228F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01228F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6D5466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6D5466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6D546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03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94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9425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0942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5234CB"/>
    <w:rPr>
      <w:rFonts w:ascii="Arial" w:eastAsia="Arial" w:hAnsi="Arial" w:cs="Arial"/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5234CB"/>
    <w:rPr>
      <w:rFonts w:ascii="Arial" w:eastAsia="Arial" w:hAnsi="Arial" w:cs="Arial"/>
      <w:b/>
      <w:bCs/>
      <w:color w:val="000000"/>
      <w:sz w:val="16"/>
      <w:szCs w:val="22"/>
      <w:shd w:val="solid" w:color="FFFFFF" w:fill="auto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5639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563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63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A57948"/>
    <w:rPr>
      <w:rFonts w:ascii="Tahoma" w:hAnsi="Tahoma" w:cs="Tahoma"/>
      <w:sz w:val="16"/>
      <w:szCs w:val="16"/>
    </w:rPr>
  </w:style>
  <w:style w:type="character" w:customStyle="1" w:styleId="BalloonTextCharc">
    <w:name w:val="Balloon Text Char"/>
    <w:basedOn w:val="DefaultParagraphFont"/>
    <w:uiPriority w:val="99"/>
    <w:semiHidden/>
    <w:rsid w:val="003E46EB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D31C12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D31C12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4700DD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92662C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AE49C1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AE49C1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AE49C1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62558F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462A2F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rsid w:val="00AA7B64"/>
    <w:rPr>
      <w:rFonts w:ascii="Lucida Grande" w:hAnsi="Lucida Grande"/>
      <w:sz w:val="18"/>
      <w:szCs w:val="18"/>
    </w:rPr>
  </w:style>
  <w:style w:type="paragraph" w:customStyle="1" w:styleId="H1">
    <w:name w:val="H1"/>
    <w:next w:val="Normal"/>
    <w:rsid w:val="008D2CBF"/>
    <w:pPr>
      <w:keepNext/>
      <w:suppressAutoHyphens/>
      <w:spacing w:after="720" w:line="48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customStyle="1" w:styleId="H2">
    <w:name w:val="H2"/>
    <w:basedOn w:val="H1"/>
    <w:qFormat/>
    <w:rsid w:val="003243A6"/>
    <w:pPr>
      <w:keepNext w:val="0"/>
      <w:spacing w:after="0"/>
      <w:jc w:val="left"/>
    </w:pPr>
  </w:style>
  <w:style w:type="paragraph" w:customStyle="1" w:styleId="H3">
    <w:name w:val="H3"/>
    <w:basedOn w:val="H2"/>
    <w:qFormat/>
    <w:rsid w:val="008D2CBF"/>
    <w:pPr>
      <w:ind w:firstLine="720"/>
    </w:pPr>
  </w:style>
  <w:style w:type="paragraph" w:customStyle="1" w:styleId="H4">
    <w:name w:val="H4"/>
    <w:basedOn w:val="H3"/>
    <w:qFormat/>
    <w:rsid w:val="008D2CBF"/>
    <w:rPr>
      <w:i/>
    </w:rPr>
  </w:style>
  <w:style w:type="paragraph" w:customStyle="1" w:styleId="H5">
    <w:name w:val="H5"/>
    <w:basedOn w:val="H4"/>
    <w:qFormat/>
    <w:rsid w:val="008D2CBF"/>
    <w:rPr>
      <w:b w:val="0"/>
    </w:rPr>
  </w:style>
  <w:style w:type="paragraph" w:customStyle="1" w:styleId="T1">
    <w:name w:val="T1"/>
    <w:basedOn w:val="Normal"/>
    <w:qFormat/>
    <w:rsid w:val="003243A6"/>
    <w:pPr>
      <w:spacing w:after="0" w:line="480" w:lineRule="auto"/>
      <w:ind w:firstLine="720"/>
    </w:pPr>
    <w:rPr>
      <w:rFonts w:ascii="Times New Roman" w:eastAsia="Times New Roman" w:hAnsi="Times New Roman" w:cs="Times New Roman"/>
    </w:rPr>
  </w:style>
  <w:style w:type="paragraph" w:customStyle="1" w:styleId="T2">
    <w:name w:val="T2"/>
    <w:basedOn w:val="Normal"/>
    <w:rsid w:val="003243A6"/>
    <w:pPr>
      <w:tabs>
        <w:tab w:val="left" w:pos="720"/>
        <w:tab w:val="left" w:leader="dot" w:pos="8280"/>
      </w:tabs>
      <w:suppressAutoHyphens/>
      <w:spacing w:after="0" w:line="48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aliases w:val="Proposal"/>
    <w:basedOn w:val="Normal"/>
    <w:next w:val="Normal"/>
    <w:autoRedefine/>
    <w:uiPriority w:val="39"/>
    <w:unhideWhenUsed/>
    <w:qFormat/>
    <w:rsid w:val="006A2C1E"/>
    <w:pPr>
      <w:tabs>
        <w:tab w:val="right" w:leader="dot" w:pos="4320"/>
        <w:tab w:val="right" w:leader="dot" w:pos="7920"/>
      </w:tabs>
      <w:spacing w:after="0" w:line="240" w:lineRule="auto"/>
      <w:ind w:right="432"/>
    </w:pPr>
    <w:rPr>
      <w:rFonts w:ascii="Times New Roman" w:eastAsia="Times New Roman" w:hAnsi="Times New Roman" w:cs="Times New Roman"/>
      <w:lang w:bidi="en-US"/>
    </w:rPr>
  </w:style>
  <w:style w:type="paragraph" w:styleId="TOC2">
    <w:name w:val="toc 2"/>
    <w:basedOn w:val="Normal"/>
    <w:next w:val="Normal"/>
    <w:autoRedefine/>
    <w:uiPriority w:val="39"/>
    <w:rsid w:val="003243A6"/>
    <w:pPr>
      <w:spacing w:after="240"/>
      <w:ind w:left="245"/>
    </w:pPr>
    <w:rPr>
      <w:rFonts w:ascii="Times New Roman" w:eastAsia="Times New Roman" w:hAnsi="Times New Roman" w:cs="Times New Roman"/>
    </w:rPr>
  </w:style>
  <w:style w:type="paragraph" w:styleId="TOC3">
    <w:name w:val="toc 3"/>
    <w:basedOn w:val="TOC2"/>
    <w:next w:val="Normal"/>
    <w:autoRedefine/>
    <w:uiPriority w:val="39"/>
    <w:rsid w:val="003243A6"/>
    <w:pPr>
      <w:tabs>
        <w:tab w:val="right" w:leader="dot" w:pos="7920"/>
      </w:tabs>
      <w:ind w:left="720"/>
    </w:pPr>
  </w:style>
  <w:style w:type="paragraph" w:styleId="TOC4">
    <w:name w:val="toc 4"/>
    <w:basedOn w:val="Normal"/>
    <w:next w:val="Normal"/>
    <w:autoRedefine/>
    <w:uiPriority w:val="39"/>
    <w:rsid w:val="00EE6757"/>
    <w:pPr>
      <w:spacing w:after="240"/>
      <w:ind w:left="2160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3243A6"/>
    <w:pPr>
      <w:spacing w:after="0"/>
      <w:ind w:left="960"/>
    </w:pPr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D645F7"/>
    <w:pPr>
      <w:tabs>
        <w:tab w:val="right" w:pos="8640"/>
      </w:tabs>
      <w:spacing w:after="240"/>
      <w:ind w:left="720"/>
    </w:pPr>
    <w:rPr>
      <w:rFonts w:ascii="Times New Roman" w:eastAsiaTheme="minorEastAsia" w:hAnsi="Times New Roman"/>
      <w:iCs/>
      <w:spacing w:val="-2"/>
    </w:rPr>
  </w:style>
  <w:style w:type="paragraph" w:styleId="ListParagraph">
    <w:name w:val="List Paragraph"/>
    <w:basedOn w:val="Normal"/>
    <w:uiPriority w:val="34"/>
    <w:qFormat/>
    <w:rsid w:val="00A579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A579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5794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948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579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579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A579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79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7666B"/>
    <w:rPr>
      <w:rFonts w:ascii="Trebuchet MS" w:hAnsi="Trebuchet MS"/>
      <w:color w:val="auto"/>
      <w:spacing w:val="0"/>
      <w:position w:val="6"/>
      <w:sz w:val="14"/>
      <w:vertAlign w:val="baseline"/>
    </w:rPr>
  </w:style>
  <w:style w:type="paragraph" w:styleId="NormalWeb">
    <w:name w:val="Normal (Web)"/>
    <w:basedOn w:val="Normal"/>
    <w:unhideWhenUsed/>
    <w:rsid w:val="00A5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948"/>
    <w:rPr>
      <w:b/>
      <w:bCs/>
    </w:rPr>
  </w:style>
  <w:style w:type="paragraph" w:styleId="Header">
    <w:name w:val="header"/>
    <w:basedOn w:val="Normal"/>
    <w:link w:val="HeaderChar"/>
    <w:rsid w:val="001418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418DB"/>
    <w:rPr>
      <w:sz w:val="22"/>
      <w:szCs w:val="22"/>
    </w:rPr>
  </w:style>
  <w:style w:type="paragraph" w:styleId="Footer">
    <w:name w:val="footer"/>
    <w:basedOn w:val="Normal"/>
    <w:link w:val="FooterChar"/>
    <w:rsid w:val="001418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418DB"/>
    <w:rPr>
      <w:sz w:val="22"/>
      <w:szCs w:val="22"/>
    </w:rPr>
  </w:style>
  <w:style w:type="character" w:styleId="PageNumber">
    <w:name w:val="page number"/>
    <w:basedOn w:val="DefaultParagraphFont"/>
    <w:rsid w:val="00F816AE"/>
    <w:rPr>
      <w:rFonts w:ascii="Trebuchet MS" w:hAnsi="Trebuchet MS"/>
      <w:color w:val="002354"/>
      <w:sz w:val="20"/>
    </w:rPr>
  </w:style>
  <w:style w:type="paragraph" w:customStyle="1" w:styleId="KFPSubheading">
    <w:name w:val="KFPSubheading"/>
    <w:basedOn w:val="Normal"/>
    <w:qFormat/>
    <w:rsid w:val="00D62D90"/>
    <w:pPr>
      <w:keepNext/>
      <w:spacing w:after="0"/>
    </w:pPr>
    <w:rPr>
      <w:rFonts w:ascii="Gotham-Bold" w:hAnsi="Gotham-Bold"/>
      <w:b/>
      <w:color w:val="0066CC"/>
    </w:rPr>
  </w:style>
  <w:style w:type="paragraph" w:customStyle="1" w:styleId="KFPParagraph2">
    <w:name w:val="KFPParagraph2"/>
    <w:basedOn w:val="Normal"/>
    <w:qFormat/>
    <w:rsid w:val="00912851"/>
    <w:pPr>
      <w:spacing w:after="0"/>
      <w:ind w:firstLine="288"/>
    </w:pPr>
    <w:rPr>
      <w:rFonts w:ascii="Trebuchet MS" w:hAnsi="Trebuchet MS"/>
      <w:sz w:val="20"/>
    </w:rPr>
  </w:style>
  <w:style w:type="paragraph" w:customStyle="1" w:styleId="KFPParagraph1">
    <w:name w:val="KFPParagraph1"/>
    <w:basedOn w:val="Normal"/>
    <w:qFormat/>
    <w:rsid w:val="00912851"/>
    <w:pPr>
      <w:spacing w:after="0"/>
    </w:pPr>
    <w:rPr>
      <w:rFonts w:ascii="Trebuchet MS" w:hAnsi="Trebuchet MS"/>
      <w:sz w:val="20"/>
    </w:rPr>
  </w:style>
  <w:style w:type="paragraph" w:customStyle="1" w:styleId="KFPBullet">
    <w:name w:val="KFPBullet"/>
    <w:basedOn w:val="Normal"/>
    <w:qFormat/>
    <w:rsid w:val="00BB2E48"/>
    <w:pPr>
      <w:spacing w:after="0"/>
      <w:ind w:left="720" w:hanging="360"/>
    </w:pPr>
    <w:rPr>
      <w:rFonts w:ascii="Trebuchet MS" w:hAnsi="Trebuchet MS"/>
      <w:sz w:val="20"/>
    </w:rPr>
  </w:style>
  <w:style w:type="paragraph" w:customStyle="1" w:styleId="KFPFigureCaption">
    <w:name w:val="KFPFigureCaption"/>
    <w:basedOn w:val="KFPSubheading"/>
    <w:qFormat/>
    <w:rsid w:val="00D62D90"/>
    <w:rPr>
      <w:rFonts w:ascii="Gotham-Book" w:hAnsi="Gotham-Book"/>
      <w:sz w:val="20"/>
    </w:rPr>
  </w:style>
  <w:style w:type="paragraph" w:customStyle="1" w:styleId="KFPSubSubHeading">
    <w:name w:val="KFPSubSubHeading"/>
    <w:basedOn w:val="Normal"/>
    <w:qFormat/>
    <w:rsid w:val="00D62D90"/>
    <w:pPr>
      <w:keepNext/>
      <w:spacing w:after="0"/>
    </w:pPr>
    <w:rPr>
      <w:rFonts w:ascii="Gotham-Medium" w:hAnsi="Gotham-Medium"/>
      <w:b/>
      <w:color w:val="0066CC"/>
      <w:sz w:val="20"/>
    </w:rPr>
  </w:style>
  <w:style w:type="paragraph" w:customStyle="1" w:styleId="KFPFootnote">
    <w:name w:val="KFPFootnote"/>
    <w:basedOn w:val="FootnoteText"/>
    <w:link w:val="KFPFootnoteChar"/>
    <w:qFormat/>
    <w:rsid w:val="00014A46"/>
    <w:rPr>
      <w:rFonts w:ascii="Trebuchet MS" w:hAnsi="Trebuchet MS"/>
      <w:sz w:val="14"/>
    </w:rPr>
  </w:style>
  <w:style w:type="character" w:customStyle="1" w:styleId="KFPFootnoteChar">
    <w:name w:val="KFPFootnote Char"/>
    <w:basedOn w:val="FootnoteTextChar"/>
    <w:link w:val="KFPFootnote"/>
    <w:rsid w:val="00014A46"/>
    <w:rPr>
      <w:rFonts w:ascii="Trebuchet MS" w:hAnsi="Trebuchet MS"/>
      <w:sz w:val="14"/>
      <w:szCs w:val="20"/>
    </w:rPr>
  </w:style>
  <w:style w:type="character" w:customStyle="1" w:styleId="text">
    <w:name w:val="text"/>
    <w:basedOn w:val="DefaultParagraphFont"/>
    <w:rsid w:val="00AB295D"/>
  </w:style>
  <w:style w:type="paragraph" w:customStyle="1" w:styleId="FreeForm">
    <w:name w:val="Free Form"/>
    <w:rsid w:val="00FF7950"/>
    <w:pPr>
      <w:spacing w:after="0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KFPHeading1">
    <w:name w:val="KFPHeading1"/>
    <w:basedOn w:val="KFPSubheading"/>
    <w:qFormat/>
    <w:rsid w:val="00D62D90"/>
    <w:pPr>
      <w:spacing w:before="2400"/>
    </w:pPr>
    <w:rPr>
      <w:sz w:val="44"/>
    </w:rPr>
  </w:style>
  <w:style w:type="character" w:customStyle="1" w:styleId="KFPCalloutText">
    <w:name w:val="KFPCalloutText"/>
    <w:basedOn w:val="DefaultParagraphFont"/>
    <w:rsid w:val="00D62D90"/>
    <w:rPr>
      <w:rFonts w:ascii="Gotham-Book" w:hAnsi="Gotham-Book"/>
      <w:color w:val="0066CC"/>
      <w:sz w:val="26"/>
    </w:rPr>
  </w:style>
  <w:style w:type="paragraph" w:customStyle="1" w:styleId="ColorfulGrid-Accent11">
    <w:name w:val="Colorful Grid - Accent 11"/>
    <w:autoRedefine/>
    <w:rsid w:val="00FF7950"/>
    <w:pPr>
      <w:spacing w:after="0"/>
    </w:pPr>
    <w:rPr>
      <w:rFonts w:ascii="Lucida Grande" w:eastAsia="ヒラギノ角ゴ Pro W3" w:hAnsi="Lucida Grande" w:cs="Times New Roman"/>
      <w:color w:val="000000"/>
      <w:sz w:val="22"/>
      <w:szCs w:val="20"/>
    </w:rPr>
  </w:style>
  <w:style w:type="paragraph" w:styleId="ListBullet">
    <w:name w:val="List Bullet"/>
    <w:rsid w:val="00FF7950"/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TimesNew">
    <w:name w:val="Times New"/>
    <w:basedOn w:val="Normal"/>
    <w:rsid w:val="00E364D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KFPBlockQuote">
    <w:name w:val="KFPBlockQuote"/>
    <w:basedOn w:val="KFPParagraph1"/>
    <w:qFormat/>
    <w:rsid w:val="00912851"/>
    <w:pPr>
      <w:spacing w:before="120" w:after="120"/>
      <w:ind w:left="288"/>
    </w:pPr>
    <w:rPr>
      <w:sz w:val="18"/>
    </w:rPr>
  </w:style>
  <w:style w:type="character" w:styleId="Hyperlink">
    <w:name w:val="Hyperlink"/>
    <w:basedOn w:val="DefaultParagraphFont"/>
    <w:uiPriority w:val="99"/>
    <w:rsid w:val="00E364D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rsid w:val="00E364D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364D2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rsid w:val="00E364D2"/>
    <w:rPr>
      <w:vertAlign w:val="superscript"/>
    </w:rPr>
  </w:style>
  <w:style w:type="paragraph" w:styleId="TOC6">
    <w:name w:val="toc 6"/>
    <w:basedOn w:val="Normal"/>
    <w:next w:val="Normal"/>
    <w:autoRedefine/>
    <w:rsid w:val="00E55CDD"/>
    <w:pPr>
      <w:ind w:left="1100"/>
    </w:pPr>
  </w:style>
  <w:style w:type="paragraph" w:styleId="TOC7">
    <w:name w:val="toc 7"/>
    <w:basedOn w:val="Normal"/>
    <w:next w:val="Normal"/>
    <w:autoRedefine/>
    <w:rsid w:val="00E55CDD"/>
    <w:pPr>
      <w:ind w:left="1320"/>
    </w:pPr>
  </w:style>
  <w:style w:type="paragraph" w:styleId="TOC8">
    <w:name w:val="toc 8"/>
    <w:basedOn w:val="Normal"/>
    <w:next w:val="Normal"/>
    <w:autoRedefine/>
    <w:rsid w:val="00E55CDD"/>
    <w:pPr>
      <w:ind w:left="1540"/>
    </w:pPr>
  </w:style>
  <w:style w:type="paragraph" w:styleId="TOC9">
    <w:name w:val="toc 9"/>
    <w:basedOn w:val="Normal"/>
    <w:next w:val="Normal"/>
    <w:autoRedefine/>
    <w:rsid w:val="00E55CDD"/>
    <w:pPr>
      <w:ind w:left="1760"/>
    </w:pPr>
  </w:style>
  <w:style w:type="paragraph" w:customStyle="1" w:styleId="StyleHeading1TimesNewRoman12ptAuto">
    <w:name w:val="Style Heading 1 + Times New Roman 12 pt Auto"/>
    <w:basedOn w:val="Heading1"/>
    <w:rsid w:val="00080398"/>
    <w:pPr>
      <w:spacing w:before="0" w:after="0"/>
      <w:ind w:left="720" w:hanging="720"/>
    </w:pPr>
    <w:rPr>
      <w:rFonts w:ascii="Times New Roman" w:hAnsi="Times New Roman"/>
      <w:kern w:val="0"/>
      <w:sz w:val="24"/>
      <w:szCs w:val="24"/>
    </w:rPr>
  </w:style>
  <w:style w:type="character" w:customStyle="1" w:styleId="body1">
    <w:name w:val="body1"/>
    <w:basedOn w:val="DefaultParagraphFont"/>
    <w:rsid w:val="00080398"/>
    <w:rPr>
      <w:rFonts w:ascii="Verdana" w:hAnsi="Verdana" w:hint="default"/>
      <w:sz w:val="20"/>
      <w:szCs w:val="20"/>
    </w:rPr>
  </w:style>
  <w:style w:type="paragraph" w:customStyle="1" w:styleId="KFPHeading4">
    <w:name w:val="KFPHeading4"/>
    <w:basedOn w:val="KFPParagraph2"/>
    <w:qFormat/>
    <w:rsid w:val="00916669"/>
    <w:pPr>
      <w:keepNext/>
    </w:pPr>
    <w:rPr>
      <w:color w:val="000090"/>
    </w:rPr>
  </w:style>
  <w:style w:type="character" w:customStyle="1" w:styleId="KFPSubSubSubHeading">
    <w:name w:val="KFPSubSubSubHeading"/>
    <w:basedOn w:val="DefaultParagraphFont"/>
    <w:rsid w:val="00C72F87"/>
    <w:rPr>
      <w:rFonts w:ascii="Gotham-Book" w:hAnsi="Gotham-Book"/>
      <w:color w:val="000090"/>
    </w:rPr>
  </w:style>
  <w:style w:type="character" w:customStyle="1" w:styleId="apple-style-span">
    <w:name w:val="apple-style-span"/>
    <w:basedOn w:val="DefaultParagraphFont"/>
    <w:rsid w:val="00094256"/>
  </w:style>
  <w:style w:type="character" w:customStyle="1" w:styleId="apple-converted-space">
    <w:name w:val="apple-converted-space"/>
    <w:basedOn w:val="DefaultParagraphFont"/>
    <w:rsid w:val="00094256"/>
  </w:style>
  <w:style w:type="paragraph" w:styleId="Revision">
    <w:name w:val="Revision"/>
    <w:hidden/>
    <w:uiPriority w:val="99"/>
    <w:rsid w:val="00094256"/>
    <w:pPr>
      <w:spacing w:after="0"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rsid w:val="00094256"/>
    <w:rPr>
      <w:color w:val="800080" w:themeColor="followedHyperlink"/>
      <w:u w:val="single"/>
    </w:rPr>
  </w:style>
  <w:style w:type="character" w:customStyle="1" w:styleId="Style12pt">
    <w:name w:val="Style 12 pt"/>
    <w:basedOn w:val="DefaultParagraphFont"/>
    <w:rsid w:val="00662D32"/>
    <w:rPr>
      <w:sz w:val="24"/>
    </w:rPr>
  </w:style>
  <w:style w:type="character" w:styleId="Emphasis">
    <w:name w:val="Emphasis"/>
    <w:basedOn w:val="DefaultParagraphFont"/>
    <w:uiPriority w:val="20"/>
    <w:qFormat/>
    <w:rsid w:val="00662D32"/>
    <w:rPr>
      <w:i/>
      <w:iCs/>
    </w:rPr>
  </w:style>
  <w:style w:type="paragraph" w:styleId="Caption">
    <w:name w:val="caption"/>
    <w:basedOn w:val="Normal"/>
    <w:next w:val="Normal"/>
    <w:uiPriority w:val="99"/>
    <w:qFormat/>
    <w:rsid w:val="00662D3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Img">
    <w:name w:val="Img"/>
    <w:basedOn w:val="Normal"/>
    <w:rsid w:val="005234CB"/>
    <w:pPr>
      <w:shd w:val="solid" w:color="FFFFFF" w:fill="auto"/>
      <w:spacing w:after="0" w:line="240" w:lineRule="auto"/>
      <w:jc w:val="both"/>
    </w:pPr>
    <w:rPr>
      <w:rFonts w:ascii="Calibri" w:eastAsia="Arial" w:hAnsi="Calibri" w:cs="Arial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5234CB"/>
    <w:pPr>
      <w:shd w:val="solid" w:color="FFFFFF" w:fill="auto"/>
      <w:spacing w:after="0" w:line="240" w:lineRule="auto"/>
      <w:jc w:val="both"/>
    </w:pPr>
    <w:rPr>
      <w:rFonts w:ascii="Calibri" w:eastAsia="Arial" w:hAnsi="Calibri" w:cs="Arial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BookTitle1">
    <w:name w:val="Book Title1"/>
    <w:uiPriority w:val="99"/>
    <w:qFormat/>
    <w:rsid w:val="00972FF7"/>
    <w:rPr>
      <w:rFonts w:ascii="Cambria" w:hAnsi="Cambria"/>
      <w:b/>
      <w:bCs/>
      <w:smallCaps/>
      <w:spacing w:val="5"/>
    </w:rPr>
  </w:style>
  <w:style w:type="paragraph" w:customStyle="1" w:styleId="AmyBelt1">
    <w:name w:val="AmyBelt1"/>
    <w:basedOn w:val="Normal"/>
    <w:qFormat/>
    <w:rsid w:val="0091097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myBelt2">
    <w:name w:val="AmyBelt2"/>
    <w:basedOn w:val="Normal"/>
    <w:qFormat/>
    <w:rsid w:val="00B62769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18"/>
    </w:rPr>
  </w:style>
  <w:style w:type="character" w:styleId="HTMLCite">
    <w:name w:val="HTML Cite"/>
    <w:basedOn w:val="DefaultParagraphFont"/>
    <w:uiPriority w:val="99"/>
    <w:rsid w:val="005639FC"/>
    <w:rPr>
      <w:i/>
    </w:rPr>
  </w:style>
  <w:style w:type="character" w:customStyle="1" w:styleId="KFPfigurereference">
    <w:name w:val="KFPfigure_reference"/>
    <w:basedOn w:val="KFPSubSubSubHeading"/>
    <w:rsid w:val="00D21A6E"/>
    <w:rPr>
      <w:rFonts w:ascii="Gotham-Book" w:hAnsi="Gotham-Book"/>
      <w:color w:val="000090"/>
    </w:rPr>
  </w:style>
  <w:style w:type="character" w:customStyle="1" w:styleId="ui-iconui-icon-calendar">
    <w:name w:val="ui-icon ui-icon-calendar"/>
    <w:basedOn w:val="DefaultParagraphFont"/>
    <w:rsid w:val="00F02A3D"/>
  </w:style>
  <w:style w:type="character" w:customStyle="1" w:styleId="org">
    <w:name w:val="org"/>
    <w:basedOn w:val="DefaultParagraphFont"/>
    <w:rsid w:val="00F02A3D"/>
  </w:style>
  <w:style w:type="character" w:customStyle="1" w:styleId="location">
    <w:name w:val="location"/>
    <w:basedOn w:val="DefaultParagraphFont"/>
    <w:rsid w:val="00F02A3D"/>
  </w:style>
  <w:style w:type="character" w:customStyle="1" w:styleId="person">
    <w:name w:val="person"/>
    <w:basedOn w:val="DefaultParagraphFont"/>
    <w:rsid w:val="00F02A3D"/>
  </w:style>
  <w:style w:type="paragraph" w:customStyle="1" w:styleId="leadin">
    <w:name w:val="leadin"/>
    <w:basedOn w:val="Normal"/>
    <w:rsid w:val="00F02A3D"/>
    <w:pPr>
      <w:spacing w:beforeLines="1" w:afterLines="1" w:line="240" w:lineRule="auto"/>
    </w:pPr>
    <w:rPr>
      <w:rFonts w:ascii="Times" w:eastAsia="Calibri" w:hAnsi="Times" w:cs="Courier"/>
      <w:sz w:val="20"/>
      <w:szCs w:val="20"/>
    </w:rPr>
  </w:style>
  <w:style w:type="character" w:customStyle="1" w:styleId="caption1">
    <w:name w:val="caption1"/>
    <w:basedOn w:val="DefaultParagraphFont"/>
    <w:rsid w:val="00F02A3D"/>
  </w:style>
  <w:style w:type="character" w:customStyle="1" w:styleId="PlainTextChar">
    <w:name w:val="Plain Text Char"/>
    <w:basedOn w:val="DefaultParagraphFont"/>
    <w:link w:val="PlainText"/>
    <w:uiPriority w:val="99"/>
    <w:rsid w:val="00BA429A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BA429A"/>
    <w:pPr>
      <w:spacing w:before="100" w:beforeAutospacing="1" w:after="0" w:afterAutospacing="1" w:line="240" w:lineRule="auto"/>
    </w:pPr>
    <w:rPr>
      <w:rFonts w:ascii="Consolas" w:hAnsi="Consolas" w:cs="Consolas"/>
      <w:sz w:val="21"/>
      <w:szCs w:val="21"/>
    </w:rPr>
  </w:style>
  <w:style w:type="paragraph" w:customStyle="1" w:styleId="Para">
    <w:name w:val="Para"/>
    <w:rsid w:val="004D39D8"/>
    <w:pPr>
      <w:suppressAutoHyphens/>
      <w:spacing w:after="120" w:line="480" w:lineRule="auto"/>
      <w:ind w:firstLine="720"/>
    </w:pPr>
    <w:rPr>
      <w:rFonts w:ascii="Georgia" w:eastAsia="Times New Roman" w:hAnsi="Georgia" w:cs="Times New Roman"/>
      <w:snapToGrid w:val="0"/>
    </w:rPr>
  </w:style>
  <w:style w:type="paragraph" w:customStyle="1" w:styleId="Default">
    <w:name w:val="Default"/>
    <w:rsid w:val="004D39D8"/>
    <w:pPr>
      <w:autoSpaceDE w:val="0"/>
      <w:autoSpaceDN w:val="0"/>
      <w:adjustRightInd w:val="0"/>
      <w:spacing w:after="0"/>
    </w:pPr>
    <w:rPr>
      <w:rFonts w:ascii="HelveticaNeueLT Std Blk" w:eastAsia="HelveticaNeueLT Std Blk" w:hAnsi="Calibri" w:cs="HelveticaNeueLT Std Blk"/>
      <w:color w:val="000000"/>
      <w:lang w:eastAsia="zh-CN"/>
    </w:rPr>
  </w:style>
  <w:style w:type="character" w:customStyle="1" w:styleId="A2">
    <w:name w:val="A2"/>
    <w:uiPriority w:val="99"/>
    <w:rsid w:val="004D39D8"/>
    <w:rPr>
      <w:rFonts w:cs="HelveticaNeueLT Std Blk"/>
      <w:b/>
      <w:bCs/>
      <w:color w:val="5F5160"/>
      <w:sz w:val="17"/>
      <w:szCs w:val="17"/>
    </w:rPr>
  </w:style>
  <w:style w:type="paragraph" w:customStyle="1" w:styleId="attribution">
    <w:name w:val="attribution"/>
    <w:basedOn w:val="Normal"/>
    <w:rsid w:val="004D39D8"/>
    <w:pPr>
      <w:spacing w:before="180" w:after="45" w:line="240" w:lineRule="auto"/>
    </w:pPr>
    <w:rPr>
      <w:rFonts w:ascii="Arial" w:eastAsia="Times New Roman" w:hAnsi="Arial" w:cs="Arial"/>
      <w:i/>
      <w:iCs/>
      <w:color w:val="666666"/>
      <w:sz w:val="17"/>
      <w:szCs w:val="17"/>
      <w:lang w:eastAsia="zh-CN"/>
    </w:rPr>
  </w:style>
  <w:style w:type="character" w:customStyle="1" w:styleId="bold1">
    <w:name w:val="bold1"/>
    <w:basedOn w:val="DefaultParagraphFont"/>
    <w:rsid w:val="004D39D8"/>
    <w:rPr>
      <w:b/>
      <w:bCs/>
    </w:rPr>
  </w:style>
  <w:style w:type="paragraph" w:customStyle="1" w:styleId="footnote">
    <w:name w:val="footnote"/>
    <w:basedOn w:val="attribution"/>
    <w:rsid w:val="004D39D8"/>
    <w:pPr>
      <w:textAlignment w:val="top"/>
    </w:pPr>
    <w:rPr>
      <w:color w:val="000000" w:themeColor="text1"/>
    </w:rPr>
  </w:style>
  <w:style w:type="character" w:customStyle="1" w:styleId="slug-doi">
    <w:name w:val="slug-doi"/>
    <w:basedOn w:val="DefaultParagraphFont"/>
    <w:rsid w:val="002843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chart" Target="charts/chart5.xml"/><Relationship Id="rId21" Type="http://schemas.openxmlformats.org/officeDocument/2006/relationships/header" Target="header7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88" Type="http://schemas.microsoft.com/office/2007/relationships/stylesWithEffects" Target="stylesWithEffects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chart" Target="charts/chart1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chart" Target="charts/chart2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chart" Target="charts/chart3.xml"/><Relationship Id="rId19" Type="http://schemas.openxmlformats.org/officeDocument/2006/relationships/chart" Target="charts/chart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hinyLaptop:Users:Anna:Documents:KFP:Journal2011:Copy%20of%20Punit%20et%20al%20new%20figures%20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iglesliep:Documents:KFP:Journal%202011:charts:Copy%20of%20Punit%20et%20al%20new%20figures%20v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/>
      <c:pieChart>
        <c:varyColors val="1"/>
        <c:ser>
          <c:idx val="0"/>
          <c:order val="0"/>
          <c:spPr>
            <a:solidFill>
              <a:srgbClr val="66CCFF"/>
            </a:solidFill>
            <a:ln>
              <a:noFill/>
            </a:ln>
            <a:effectLst/>
          </c:spPr>
          <c:dPt>
            <c:idx val="0"/>
            <c:spPr>
              <a:noFill/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"/>
            <c:spPr>
              <a:solidFill>
                <a:srgbClr val="C8F1FF"/>
              </a:solidFill>
              <a:ln>
                <a:noFill/>
              </a:ln>
              <a:effectLst/>
            </c:spPr>
          </c:dPt>
          <c:dPt>
            <c:idx val="2"/>
            <c:explosion val="29"/>
            <c:spPr>
              <a:solidFill>
                <a:srgbClr val="0066CC"/>
              </a:solidFill>
              <a:ln>
                <a:solidFill>
                  <a:srgbClr val="0066CC"/>
                </a:solidFill>
              </a:ln>
              <a:effectLst/>
            </c:spPr>
          </c:dPt>
          <c:dPt>
            <c:idx val="3"/>
            <c:spPr>
              <a:solidFill>
                <a:srgbClr val="C8F1FF"/>
              </a:solidFill>
              <a:ln>
                <a:noFill/>
              </a:ln>
              <a:effectLst/>
            </c:spPr>
          </c:dPt>
          <c:dPt>
            <c:idx val="4"/>
            <c:spPr>
              <a:noFill/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5"/>
            <c:spPr>
              <a:solidFill>
                <a:srgbClr val="C8F1FF"/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-0.101081709048664"/>
                  <c:y val="-0.0122370101967343"/>
                </c:manualLayout>
              </c:layout>
              <c:tx>
                <c:rich>
                  <a:bodyPr/>
                  <a:lstStyle/>
                  <a:p>
                    <a:r>
                      <a:rPr lang="en-US" sz="1000"/>
                      <a:t>Real estate (151)</a:t>
                    </a:r>
                  </a:p>
                </c:rich>
              </c:tx>
              <c:dLblPos val="bestFit"/>
              <c:showCatName val="1"/>
            </c:dLbl>
            <c:dLbl>
              <c:idx val="1"/>
              <c:layout>
                <c:manualLayout>
                  <c:x val="-0.0598175330542698"/>
                  <c:y val="0.0282238171555989"/>
                </c:manualLayout>
              </c:layout>
              <c:tx>
                <c:rich>
                  <a:bodyPr/>
                  <a:lstStyle/>
                  <a:p>
                    <a:r>
                      <a:rPr lang="en-US" sz="1000"/>
                      <a:t>Manufacturing, Construction </a:t>
                    </a:r>
                    <a:br>
                      <a:rPr lang="en-US" sz="1000"/>
                    </a:br>
                    <a:r>
                      <a:rPr lang="en-US" sz="1000"/>
                      <a:t>(416)</a:t>
                    </a:r>
                  </a:p>
                </c:rich>
              </c:tx>
              <c:dLblPos val="bestFit"/>
              <c:showCatName val="1"/>
            </c:dLbl>
            <c:dLbl>
              <c:idx val="2"/>
              <c:layout>
                <c:manualLayout>
                  <c:x val="0.0"/>
                  <c:y val="-0.0735653411823551"/>
                </c:manualLayout>
              </c:layout>
              <c:tx>
                <c:rich>
                  <a:bodyPr/>
                  <a:lstStyle/>
                  <a:p>
                    <a:r>
                      <a:rPr lang="en-US" sz="1000" b="1"/>
                      <a:t>Cleantech (508)</a:t>
                    </a:r>
                  </a:p>
                </c:rich>
              </c:tx>
              <c:dLblPos val="bestFit"/>
              <c:showCatName val="1"/>
            </c:dLbl>
            <c:dLbl>
              <c:idx val="3"/>
              <c:layout/>
              <c:dLblPos val="bestFit"/>
              <c:showCatName val="1"/>
            </c:dLbl>
            <c:dLbl>
              <c:idx val="4"/>
              <c:layout>
                <c:manualLayout>
                  <c:x val="-0.157961166660211"/>
                  <c:y val="-0.132247536617534"/>
                </c:manualLayout>
              </c:layout>
              <c:dLblPos val="bestFit"/>
              <c:showCatName val="1"/>
            </c:dLbl>
            <c:dLbl>
              <c:idx val="5"/>
              <c:layout>
                <c:manualLayout>
                  <c:x val="0.128032713409067"/>
                  <c:y val="-0.216956137768619"/>
                </c:manualLayout>
              </c:layout>
              <c:dLblPos val="bestFit"/>
              <c:showCatName val="1"/>
            </c:dLbl>
            <c:dLbl>
              <c:idx val="6"/>
              <c:layout/>
              <c:tx>
                <c:rich>
                  <a:bodyPr/>
                  <a:lstStyle/>
                  <a:p>
                    <a:r>
                      <a:rPr lang="en-US"/>
                      <a:t>Technology, Media, Telecom (1904)</a:t>
                    </a:r>
                  </a:p>
                </c:rich>
              </c:tx>
              <c:dLblPos val="ctr"/>
              <c:showCatName val="1"/>
            </c:dLbl>
            <c:txPr>
              <a:bodyPr/>
              <a:lstStyle/>
              <a:p>
                <a:pPr>
                  <a:defRPr sz="1000">
                    <a:latin typeface="Arial"/>
                    <a:cs typeface="Arial"/>
                  </a:defRPr>
                </a:pPr>
                <a:endParaRPr lang="en-US"/>
              </a:p>
            </c:txPr>
            <c:showVal val="1"/>
            <c:showLeaderLines val="1"/>
          </c:dLbls>
          <c:cat>
            <c:strRef>
              <c:f>Sheet1!$A$30:$A$36</c:f>
              <c:strCache>
                <c:ptCount val="7"/>
                <c:pt idx="0">
                  <c:v>Real estate (151)</c:v>
                </c:pt>
                <c:pt idx="1">
                  <c:v>Manufacturing, Construction (416)</c:v>
                </c:pt>
                <c:pt idx="2">
                  <c:v>Cleantech (508)</c:v>
                </c:pt>
                <c:pt idx="3">
                  <c:v>Chemical, Materials, Manufacturing (513)</c:v>
                </c:pt>
                <c:pt idx="4">
                  <c:v>Other (905)</c:v>
                </c:pt>
                <c:pt idx="5">
                  <c:v>Bio, Healthcare, Food, Agriculture (990)</c:v>
                </c:pt>
                <c:pt idx="6">
                  <c:v>Technology Media Telecom (1904)</c:v>
                </c:pt>
              </c:strCache>
            </c:strRef>
          </c:cat>
          <c:val>
            <c:numRef>
              <c:f>Sheet1!$B$30:$B$36</c:f>
              <c:numCache>
                <c:formatCode>General</c:formatCode>
                <c:ptCount val="7"/>
                <c:pt idx="0">
                  <c:v>151.0</c:v>
                </c:pt>
                <c:pt idx="1">
                  <c:v>416.0</c:v>
                </c:pt>
                <c:pt idx="2">
                  <c:v>508.0</c:v>
                </c:pt>
                <c:pt idx="3">
                  <c:v>513.0</c:v>
                </c:pt>
                <c:pt idx="4">
                  <c:v>905.0</c:v>
                </c:pt>
                <c:pt idx="5">
                  <c:v>990.0</c:v>
                </c:pt>
                <c:pt idx="6">
                  <c:v>1904.0</c:v>
                </c:pt>
              </c:numCache>
            </c:numRef>
          </c:val>
        </c:ser>
        <c:firstSliceAng val="0"/>
      </c:pieChart>
    </c:plotArea>
    <c:plotVisOnly val="1"/>
    <c:dispBlanksAs val="zero"/>
  </c:chart>
  <c:spPr>
    <a:noFill/>
    <a:ln>
      <a:noFill/>
    </a:ln>
  </c:spPr>
  <c:txPr>
    <a:bodyPr/>
    <a:lstStyle/>
    <a:p>
      <a:pPr>
        <a:defRPr sz="900"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>
        <c:manualLayout>
          <c:layoutTarget val="inner"/>
          <c:xMode val="edge"/>
          <c:yMode val="edge"/>
          <c:x val="0.078496740326814"/>
          <c:y val="0.0"/>
          <c:w val="0.808181285807016"/>
          <c:h val="0.719235853290359"/>
        </c:manualLayout>
      </c:layout>
      <c:barChart>
        <c:barDir val="col"/>
        <c:grouping val="clustered"/>
        <c:ser>
          <c:idx val="0"/>
          <c:order val="0"/>
          <c:tx>
            <c:strRef>
              <c:f>Sheet2!$B$1</c:f>
              <c:strCache>
                <c:ptCount val="1"/>
                <c:pt idx="0">
                  <c:v>Deals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  <a:effectLst/>
          </c:spPr>
          <c:dLbls>
            <c:txPr>
              <a:bodyPr/>
              <a:lstStyle/>
              <a:p>
                <a:pPr>
                  <a:defRPr sz="900">
                    <a:latin typeface="Trebuchet MS"/>
                    <a:cs typeface="Trebuchet MS"/>
                  </a:defRPr>
                </a:pPr>
                <a:endParaRPr lang="en-US"/>
              </a:p>
            </c:txPr>
            <c:showVal val="1"/>
          </c:dLbls>
          <c:cat>
            <c:strRef>
              <c:f>Sheet2!$A$8:$A$10</c:f>
              <c:strCache>
                <c:ptCount val="3"/>
                <c:pt idx="0">
                  <c:v>Early stage</c:v>
                </c:pt>
                <c:pt idx="1">
                  <c:v>Expansion or Later Stage</c:v>
                </c:pt>
                <c:pt idx="2">
                  <c:v>Undisclosed</c:v>
                </c:pt>
              </c:strCache>
            </c:strRef>
          </c:cat>
          <c:val>
            <c:numRef>
              <c:f>Sheet2!$B$8:$B$10</c:f>
              <c:numCache>
                <c:formatCode>General</c:formatCode>
                <c:ptCount val="3"/>
                <c:pt idx="0">
                  <c:v>100.0</c:v>
                </c:pt>
                <c:pt idx="1">
                  <c:v>640.0</c:v>
                </c:pt>
                <c:pt idx="2">
                  <c:v>77.0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Investment (US$m)</c:v>
                </c:pt>
              </c:strCache>
            </c:strRef>
          </c:tx>
          <c:spPr>
            <a:solidFill>
              <a:srgbClr val="C8F1FF"/>
            </a:solidFill>
            <a:ln>
              <a:solidFill>
                <a:srgbClr val="C8F1FF"/>
              </a:solidFill>
            </a:ln>
            <a:effectLst/>
          </c:spPr>
          <c:dLbls>
            <c:txPr>
              <a:bodyPr/>
              <a:lstStyle/>
              <a:p>
                <a:pPr>
                  <a:defRPr sz="900">
                    <a:latin typeface="Trebuchet MS"/>
                    <a:cs typeface="Trebuchet MS"/>
                  </a:defRPr>
                </a:pPr>
                <a:endParaRPr lang="en-US"/>
              </a:p>
            </c:txPr>
            <c:showVal val="1"/>
          </c:dLbls>
          <c:cat>
            <c:strRef>
              <c:f>Sheet2!$A$8:$A$10</c:f>
              <c:strCache>
                <c:ptCount val="3"/>
                <c:pt idx="0">
                  <c:v>Early stage</c:v>
                </c:pt>
                <c:pt idx="1">
                  <c:v>Expansion or Later Stage</c:v>
                </c:pt>
                <c:pt idx="2">
                  <c:v>Undisclosed</c:v>
                </c:pt>
              </c:strCache>
            </c:strRef>
          </c:cat>
          <c:val>
            <c:numRef>
              <c:f>Sheet2!$C$8:$C$10</c:f>
              <c:numCache>
                <c:formatCode>General</c:formatCode>
                <c:ptCount val="3"/>
                <c:pt idx="0">
                  <c:v>443.0</c:v>
                </c:pt>
                <c:pt idx="1">
                  <c:v>4403.0</c:v>
                </c:pt>
                <c:pt idx="2">
                  <c:v>542.0</c:v>
                </c:pt>
              </c:numCache>
            </c:numRef>
          </c:val>
        </c:ser>
        <c:overlap val="-8"/>
        <c:axId val="802180296"/>
        <c:axId val="802174584"/>
      </c:barChart>
      <c:catAx>
        <c:axId val="802180296"/>
        <c:scaling>
          <c:orientation val="minMax"/>
        </c:scaling>
        <c:axPos val="b"/>
        <c:tickLblPos val="nextTo"/>
        <c:spPr>
          <a:ln w="9525" cap="flat" cmpd="sng" algn="ctr">
            <a:solidFill>
              <a:sysClr val="windowText" lastClr="000000"/>
            </a:solidFill>
            <a:prstDash val="solid"/>
            <a:round/>
            <a:headEnd type="none" w="med" len="med"/>
            <a:tailEnd type="none" w="med" len="med"/>
          </a:ln>
        </c:spPr>
        <c:txPr>
          <a:bodyPr rot="0" anchor="t" anchorCtr="1"/>
          <a:lstStyle/>
          <a:p>
            <a:pPr>
              <a:defRPr sz="900">
                <a:latin typeface="Trebuchet MS"/>
                <a:cs typeface="Trebuchet MS"/>
              </a:defRPr>
            </a:pPr>
            <a:endParaRPr lang="en-US"/>
          </a:p>
        </c:txPr>
        <c:crossAx val="802174584"/>
        <c:crosses val="autoZero"/>
        <c:auto val="1"/>
        <c:lblAlgn val="ctr"/>
        <c:lblOffset val="100"/>
      </c:catAx>
      <c:valAx>
        <c:axId val="802174584"/>
        <c:scaling>
          <c:orientation val="minMax"/>
        </c:scaling>
        <c:delete val="1"/>
        <c:axPos val="l"/>
        <c:numFmt formatCode="General" sourceLinked="1"/>
        <c:tickLblPos val="none"/>
        <c:crossAx val="802180296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0711226116896678"/>
          <c:y val="0.182339707536558"/>
          <c:w val="0.413968264047639"/>
          <c:h val="0.184030086769851"/>
        </c:manualLayout>
      </c:layout>
      <c:overlay val="1"/>
      <c:txPr>
        <a:bodyPr/>
        <a:lstStyle/>
        <a:p>
          <a:pPr>
            <a:defRPr sz="900">
              <a:latin typeface="Trebuchet MS"/>
              <a:cs typeface="Trebuchet MS"/>
            </a:defRPr>
          </a:pPr>
          <a:endParaRPr lang="en-US"/>
        </a:p>
      </c:txPr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autoTitleDeleted val="1"/>
    <c:plotArea>
      <c:layout>
        <c:manualLayout>
          <c:layoutTarget val="inner"/>
          <c:xMode val="edge"/>
          <c:yMode val="edge"/>
          <c:x val="0.0546282245827011"/>
          <c:y val="0.165876777251185"/>
          <c:w val="0.402124430955994"/>
          <c:h val="0.5"/>
        </c:manualLayout>
      </c:layout>
      <c:scatterChart>
        <c:scatterStyle val="lineMarker"/>
        <c:ser>
          <c:idx val="1"/>
          <c:order val="0"/>
          <c:tx>
            <c:strRef>
              <c:f>Sheet1!$A$2</c:f>
              <c:strCache>
                <c:ptCount val="1"/>
                <c:pt idx="0">
                  <c:v>Upper quartile net to LPs</c:v>
                </c:pt>
              </c:strCache>
            </c:strRef>
          </c:tx>
          <c:spPr>
            <a:ln w="25415">
              <a:solidFill>
                <a:srgbClr val="C8F1FF"/>
              </a:solidFill>
              <a:prstDash val="solid"/>
            </a:ln>
          </c:spPr>
          <c:marker>
            <c:symbol val="none"/>
          </c:marker>
          <c:xVal>
            <c:numRef>
              <c:f>Sheet1!$B$1:$Z$1</c:f>
              <c:numCache>
                <c:formatCode>General</c:formatCode>
                <c:ptCount val="25"/>
                <c:pt idx="0">
                  <c:v>1985.000000000226</c:v>
                </c:pt>
                <c:pt idx="1">
                  <c:v>1986.000000000226</c:v>
                </c:pt>
                <c:pt idx="2">
                  <c:v>1987.000000000226</c:v>
                </c:pt>
                <c:pt idx="3">
                  <c:v>1988.000000000226</c:v>
                </c:pt>
                <c:pt idx="4">
                  <c:v>1989.000000000226</c:v>
                </c:pt>
                <c:pt idx="5">
                  <c:v>1990.000000000226</c:v>
                </c:pt>
                <c:pt idx="6">
                  <c:v>1991.000000000226</c:v>
                </c:pt>
                <c:pt idx="7">
                  <c:v>1992.000000000226</c:v>
                </c:pt>
                <c:pt idx="8">
                  <c:v>1993.000000000226</c:v>
                </c:pt>
                <c:pt idx="9">
                  <c:v>1994.000000000227</c:v>
                </c:pt>
                <c:pt idx="10">
                  <c:v>1995.000000000227</c:v>
                </c:pt>
                <c:pt idx="11">
                  <c:v>1996.000000000227</c:v>
                </c:pt>
                <c:pt idx="12">
                  <c:v>1997.000000000227</c:v>
                </c:pt>
                <c:pt idx="13">
                  <c:v>1998.000000000227</c:v>
                </c:pt>
                <c:pt idx="14">
                  <c:v>1999.000000000227</c:v>
                </c:pt>
                <c:pt idx="15">
                  <c:v>2000.000000000227</c:v>
                </c:pt>
                <c:pt idx="16">
                  <c:v>2001.000000000227</c:v>
                </c:pt>
                <c:pt idx="17">
                  <c:v>2002.000000000228</c:v>
                </c:pt>
                <c:pt idx="18">
                  <c:v>2003.000000000228</c:v>
                </c:pt>
                <c:pt idx="19">
                  <c:v>2004.000000000228</c:v>
                </c:pt>
                <c:pt idx="20">
                  <c:v>2005.000000000228</c:v>
                </c:pt>
                <c:pt idx="21">
                  <c:v>2006.000000000228</c:v>
                </c:pt>
                <c:pt idx="22">
                  <c:v>2007.000000000228</c:v>
                </c:pt>
                <c:pt idx="23">
                  <c:v>2008.000000000228</c:v>
                </c:pt>
                <c:pt idx="24">
                  <c:v>2009.000000000228</c:v>
                </c:pt>
              </c:numCache>
            </c:numRef>
          </c:xVal>
          <c:yVal>
            <c:numRef>
              <c:f>Sheet1!$B$2:$Z$2</c:f>
              <c:numCache>
                <c:formatCode>General</c:formatCode>
                <c:ptCount val="25"/>
                <c:pt idx="0">
                  <c:v>17.99000000000205</c:v>
                </c:pt>
                <c:pt idx="1">
                  <c:v>13.01000000000148</c:v>
                </c:pt>
                <c:pt idx="2">
                  <c:v>22.18000000000252</c:v>
                </c:pt>
                <c:pt idx="3">
                  <c:v>21.90000000000249</c:v>
                </c:pt>
                <c:pt idx="4">
                  <c:v>28.80000000000328</c:v>
                </c:pt>
                <c:pt idx="5">
                  <c:v>32.32000000000367</c:v>
                </c:pt>
                <c:pt idx="6">
                  <c:v>27.77000000000316</c:v>
                </c:pt>
                <c:pt idx="7">
                  <c:v>38.86000000000442</c:v>
                </c:pt>
                <c:pt idx="8">
                  <c:v>41.08000000000467</c:v>
                </c:pt>
                <c:pt idx="9">
                  <c:v>49.3400000000056</c:v>
                </c:pt>
                <c:pt idx="10">
                  <c:v>81.44000000000926</c:v>
                </c:pt>
                <c:pt idx="11">
                  <c:v>92.10000000001048</c:v>
                </c:pt>
                <c:pt idx="12">
                  <c:v>56.10000000000637</c:v>
                </c:pt>
                <c:pt idx="13">
                  <c:v>17.66000000000201</c:v>
                </c:pt>
                <c:pt idx="14">
                  <c:v>3.180000000000362</c:v>
                </c:pt>
                <c:pt idx="15">
                  <c:v>3.130000000000356</c:v>
                </c:pt>
                <c:pt idx="16">
                  <c:v>6.120000000000696</c:v>
                </c:pt>
                <c:pt idx="17">
                  <c:v>3.640000000000414</c:v>
                </c:pt>
                <c:pt idx="18">
                  <c:v>5.410000000000614</c:v>
                </c:pt>
                <c:pt idx="19">
                  <c:v>3.490000000000397</c:v>
                </c:pt>
                <c:pt idx="20">
                  <c:v>6.600000000000747</c:v>
                </c:pt>
                <c:pt idx="21">
                  <c:v>0.760000000000086</c:v>
                </c:pt>
                <c:pt idx="22">
                  <c:v>0.340000000000039</c:v>
                </c:pt>
                <c:pt idx="23">
                  <c:v>-0.230000000000026</c:v>
                </c:pt>
                <c:pt idx="24">
                  <c:v>2.540000000000289</c:v>
                </c:pt>
              </c:numCache>
            </c:numRef>
          </c:yVal>
        </c:ser>
        <c:ser>
          <c:idx val="0"/>
          <c:order val="1"/>
          <c:tx>
            <c:strRef>
              <c:f>Sheet1!$A$3</c:f>
              <c:strCache>
                <c:ptCount val="1"/>
                <c:pt idx="0">
                  <c:v>Median net to LPs</c:v>
                </c:pt>
              </c:strCache>
            </c:strRef>
          </c:tx>
          <c:spPr>
            <a:ln w="25415">
              <a:solidFill>
                <a:srgbClr val="66CCFF"/>
              </a:solidFill>
              <a:prstDash val="solid"/>
            </a:ln>
          </c:spPr>
          <c:marker>
            <c:symbol val="none"/>
          </c:marker>
          <c:xVal>
            <c:numRef>
              <c:f>Sheet1!$B$1:$Z$1</c:f>
              <c:numCache>
                <c:formatCode>General</c:formatCode>
                <c:ptCount val="25"/>
                <c:pt idx="0">
                  <c:v>1985.000000000226</c:v>
                </c:pt>
                <c:pt idx="1">
                  <c:v>1986.000000000226</c:v>
                </c:pt>
                <c:pt idx="2">
                  <c:v>1987.000000000226</c:v>
                </c:pt>
                <c:pt idx="3">
                  <c:v>1988.000000000226</c:v>
                </c:pt>
                <c:pt idx="4">
                  <c:v>1989.000000000226</c:v>
                </c:pt>
                <c:pt idx="5">
                  <c:v>1990.000000000226</c:v>
                </c:pt>
                <c:pt idx="6">
                  <c:v>1991.000000000226</c:v>
                </c:pt>
                <c:pt idx="7">
                  <c:v>1992.000000000226</c:v>
                </c:pt>
                <c:pt idx="8">
                  <c:v>1993.000000000226</c:v>
                </c:pt>
                <c:pt idx="9">
                  <c:v>1994.000000000227</c:v>
                </c:pt>
                <c:pt idx="10">
                  <c:v>1995.000000000227</c:v>
                </c:pt>
                <c:pt idx="11">
                  <c:v>1996.000000000227</c:v>
                </c:pt>
                <c:pt idx="12">
                  <c:v>1997.000000000227</c:v>
                </c:pt>
                <c:pt idx="13">
                  <c:v>1998.000000000227</c:v>
                </c:pt>
                <c:pt idx="14">
                  <c:v>1999.000000000227</c:v>
                </c:pt>
                <c:pt idx="15">
                  <c:v>2000.000000000227</c:v>
                </c:pt>
                <c:pt idx="16">
                  <c:v>2001.000000000227</c:v>
                </c:pt>
                <c:pt idx="17">
                  <c:v>2002.000000000228</c:v>
                </c:pt>
                <c:pt idx="18">
                  <c:v>2003.000000000228</c:v>
                </c:pt>
                <c:pt idx="19">
                  <c:v>2004.000000000228</c:v>
                </c:pt>
                <c:pt idx="20">
                  <c:v>2005.000000000228</c:v>
                </c:pt>
                <c:pt idx="21">
                  <c:v>2006.000000000228</c:v>
                </c:pt>
                <c:pt idx="22">
                  <c:v>2007.000000000228</c:v>
                </c:pt>
                <c:pt idx="23">
                  <c:v>2008.000000000228</c:v>
                </c:pt>
                <c:pt idx="24">
                  <c:v>2009.000000000228</c:v>
                </c:pt>
              </c:numCache>
            </c:numRef>
          </c:xVal>
          <c:yVal>
            <c:numRef>
              <c:f>Sheet1!$B$3:$Z$3</c:f>
              <c:numCache>
                <c:formatCode>General</c:formatCode>
                <c:ptCount val="25"/>
                <c:pt idx="0">
                  <c:v>12.66000000000144</c:v>
                </c:pt>
                <c:pt idx="1">
                  <c:v>9.470000000001077</c:v>
                </c:pt>
                <c:pt idx="2">
                  <c:v>15.65000000000178</c:v>
                </c:pt>
                <c:pt idx="3">
                  <c:v>11.98000000000136</c:v>
                </c:pt>
                <c:pt idx="4">
                  <c:v>13.31000000000151</c:v>
                </c:pt>
                <c:pt idx="5">
                  <c:v>21.54000000000245</c:v>
                </c:pt>
                <c:pt idx="6">
                  <c:v>20.04000000000228</c:v>
                </c:pt>
                <c:pt idx="7">
                  <c:v>23.02000000000262</c:v>
                </c:pt>
                <c:pt idx="8">
                  <c:v>17.73000000000201</c:v>
                </c:pt>
                <c:pt idx="9">
                  <c:v>26.450000000003</c:v>
                </c:pt>
                <c:pt idx="10">
                  <c:v>42.92000000000488</c:v>
                </c:pt>
                <c:pt idx="11">
                  <c:v>33.24000000000378</c:v>
                </c:pt>
                <c:pt idx="12">
                  <c:v>7.000000000000796</c:v>
                </c:pt>
                <c:pt idx="13">
                  <c:v>-1.05000000000012</c:v>
                </c:pt>
                <c:pt idx="14">
                  <c:v>-5.55000000000063</c:v>
                </c:pt>
                <c:pt idx="15">
                  <c:v>-3.69000000000042</c:v>
                </c:pt>
                <c:pt idx="16">
                  <c:v>-1.360000000000155</c:v>
                </c:pt>
                <c:pt idx="17">
                  <c:v>-0.840000000000095</c:v>
                </c:pt>
                <c:pt idx="18">
                  <c:v>1.300000000000148</c:v>
                </c:pt>
                <c:pt idx="19">
                  <c:v>-2.810000000000319</c:v>
                </c:pt>
                <c:pt idx="20">
                  <c:v>0.650000000000074</c:v>
                </c:pt>
                <c:pt idx="21">
                  <c:v>-4.590000000000522</c:v>
                </c:pt>
                <c:pt idx="22">
                  <c:v>-10.61000000000121</c:v>
                </c:pt>
                <c:pt idx="23">
                  <c:v>-10.42000000000118</c:v>
                </c:pt>
                <c:pt idx="24">
                  <c:v>-15.42000000000175</c:v>
                </c:pt>
              </c:numCache>
            </c:numRef>
          </c:y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Lower quartile net to LPs</c:v>
                </c:pt>
              </c:strCache>
            </c:strRef>
          </c:tx>
          <c:spPr>
            <a:ln w="25415">
              <a:solidFill>
                <a:srgbClr val="0066CC"/>
              </a:solidFill>
              <a:prstDash val="solid"/>
            </a:ln>
          </c:spPr>
          <c:marker>
            <c:symbol val="none"/>
          </c:marker>
          <c:xVal>
            <c:numRef>
              <c:f>Sheet1!$B$1:$Z$1</c:f>
              <c:numCache>
                <c:formatCode>General</c:formatCode>
                <c:ptCount val="25"/>
                <c:pt idx="0">
                  <c:v>1985.000000000226</c:v>
                </c:pt>
                <c:pt idx="1">
                  <c:v>1986.000000000226</c:v>
                </c:pt>
                <c:pt idx="2">
                  <c:v>1987.000000000226</c:v>
                </c:pt>
                <c:pt idx="3">
                  <c:v>1988.000000000226</c:v>
                </c:pt>
                <c:pt idx="4">
                  <c:v>1989.000000000226</c:v>
                </c:pt>
                <c:pt idx="5">
                  <c:v>1990.000000000226</c:v>
                </c:pt>
                <c:pt idx="6">
                  <c:v>1991.000000000226</c:v>
                </c:pt>
                <c:pt idx="7">
                  <c:v>1992.000000000226</c:v>
                </c:pt>
                <c:pt idx="8">
                  <c:v>1993.000000000226</c:v>
                </c:pt>
                <c:pt idx="9">
                  <c:v>1994.000000000227</c:v>
                </c:pt>
                <c:pt idx="10">
                  <c:v>1995.000000000227</c:v>
                </c:pt>
                <c:pt idx="11">
                  <c:v>1996.000000000227</c:v>
                </c:pt>
                <c:pt idx="12">
                  <c:v>1997.000000000227</c:v>
                </c:pt>
                <c:pt idx="13">
                  <c:v>1998.000000000227</c:v>
                </c:pt>
                <c:pt idx="14">
                  <c:v>1999.000000000227</c:v>
                </c:pt>
                <c:pt idx="15">
                  <c:v>2000.000000000227</c:v>
                </c:pt>
                <c:pt idx="16">
                  <c:v>2001.000000000227</c:v>
                </c:pt>
                <c:pt idx="17">
                  <c:v>2002.000000000228</c:v>
                </c:pt>
                <c:pt idx="18">
                  <c:v>2003.000000000228</c:v>
                </c:pt>
                <c:pt idx="19">
                  <c:v>2004.000000000228</c:v>
                </c:pt>
                <c:pt idx="20">
                  <c:v>2005.000000000228</c:v>
                </c:pt>
                <c:pt idx="21">
                  <c:v>2006.000000000228</c:v>
                </c:pt>
                <c:pt idx="22">
                  <c:v>2007.000000000228</c:v>
                </c:pt>
                <c:pt idx="23">
                  <c:v>2008.000000000228</c:v>
                </c:pt>
                <c:pt idx="24">
                  <c:v>2009.000000000228</c:v>
                </c:pt>
              </c:numCache>
            </c:numRef>
          </c:xVal>
          <c:yVal>
            <c:numRef>
              <c:f>Sheet1!$B$4:$Z$4</c:f>
              <c:numCache>
                <c:formatCode>General</c:formatCode>
                <c:ptCount val="25"/>
                <c:pt idx="0">
                  <c:v>4.720000000000536</c:v>
                </c:pt>
                <c:pt idx="1">
                  <c:v>5.400000000000614</c:v>
                </c:pt>
                <c:pt idx="2">
                  <c:v>8.70000000000099</c:v>
                </c:pt>
                <c:pt idx="3">
                  <c:v>6.810000000000775</c:v>
                </c:pt>
                <c:pt idx="4">
                  <c:v>7.750000000000881</c:v>
                </c:pt>
                <c:pt idx="5">
                  <c:v>9.000000000001023</c:v>
                </c:pt>
                <c:pt idx="6">
                  <c:v>11.84000000000135</c:v>
                </c:pt>
                <c:pt idx="7">
                  <c:v>11.3600000000013</c:v>
                </c:pt>
                <c:pt idx="8">
                  <c:v>8.10000000000092</c:v>
                </c:pt>
                <c:pt idx="9">
                  <c:v>7.0400000000008</c:v>
                </c:pt>
                <c:pt idx="10">
                  <c:v>17.48000000000198</c:v>
                </c:pt>
                <c:pt idx="11">
                  <c:v>6.670000000000757</c:v>
                </c:pt>
                <c:pt idx="12">
                  <c:v>-2.300000000000262</c:v>
                </c:pt>
                <c:pt idx="13">
                  <c:v>-8.05000000000092</c:v>
                </c:pt>
                <c:pt idx="14">
                  <c:v>-13.56000000000154</c:v>
                </c:pt>
                <c:pt idx="15">
                  <c:v>-9.370000000001066</c:v>
                </c:pt>
                <c:pt idx="16">
                  <c:v>-8.470000000000966</c:v>
                </c:pt>
                <c:pt idx="17">
                  <c:v>-7.30000000000083</c:v>
                </c:pt>
                <c:pt idx="18">
                  <c:v>-10.35000000000118</c:v>
                </c:pt>
                <c:pt idx="19">
                  <c:v>-8.430000000000958</c:v>
                </c:pt>
                <c:pt idx="20">
                  <c:v>-9.990000000001135</c:v>
                </c:pt>
                <c:pt idx="21">
                  <c:v>-11.90000000000135</c:v>
                </c:pt>
                <c:pt idx="22">
                  <c:v>-17.04000000000194</c:v>
                </c:pt>
                <c:pt idx="23">
                  <c:v>-22.9100000000026</c:v>
                </c:pt>
                <c:pt idx="24">
                  <c:v>-39.92000000000454</c:v>
                </c:pt>
              </c:numCache>
            </c:numRef>
          </c:yVal>
        </c:ser>
        <c:axId val="850535800"/>
        <c:axId val="850539432"/>
      </c:scatterChart>
      <c:valAx>
        <c:axId val="850535800"/>
        <c:scaling>
          <c:orientation val="minMax"/>
          <c:max val="2010.0"/>
          <c:min val="1985.0"/>
        </c:scaling>
        <c:axPos val="b"/>
        <c:numFmt formatCode="&quot;&quot;0&quot;&quot;;&quot;&quot;\-&quot;&quot;0&quot;&quot;" sourceLinked="0"/>
        <c:tickLblPos val="nextTo"/>
        <c:spPr>
          <a:ln w="1270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1" b="0" i="0" u="none" strike="noStrike" baseline="0">
                <a:solidFill>
                  <a:srgbClr val="000000"/>
                </a:solidFill>
                <a:latin typeface="Trebuchet MS"/>
                <a:ea typeface="Trebuchet MS"/>
                <a:cs typeface="Trebuchet MS"/>
              </a:defRPr>
            </a:pPr>
            <a:endParaRPr lang="en-US"/>
          </a:p>
        </c:txPr>
        <c:crossAx val="850539432"/>
        <c:crossesAt val="-40.0"/>
        <c:crossBetween val="midCat"/>
        <c:majorUnit val="5.0"/>
      </c:valAx>
      <c:valAx>
        <c:axId val="850539432"/>
        <c:scaling>
          <c:orientation val="minMax"/>
          <c:max val="100.0"/>
          <c:min val="-40.0"/>
        </c:scaling>
        <c:axPos val="l"/>
        <c:numFmt formatCode="&quot;&quot;#,##0&quot;&quot;;&quot;&quot;\-&quot;&quot;#,##0&quot;&quot;" sourceLinked="0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1" b="0" i="0" u="none" strike="noStrike" baseline="0">
                <a:solidFill>
                  <a:srgbClr val="000000"/>
                </a:solidFill>
                <a:latin typeface="Trebuchet MS"/>
                <a:ea typeface="Trebuchet MS"/>
                <a:cs typeface="Trebuchet MS"/>
              </a:defRPr>
            </a:pPr>
            <a:endParaRPr lang="en-US"/>
          </a:p>
        </c:txPr>
        <c:crossAx val="850535800"/>
        <c:crossesAt val="1985.0"/>
        <c:crossBetween val="midCat"/>
        <c:majorUnit val="20.0"/>
      </c:valAx>
      <c:spPr>
        <a:noFill/>
        <a:ln w="25415">
          <a:noFill/>
        </a:ln>
      </c:spPr>
    </c:plotArea>
    <c:legend>
      <c:legendPos val="r"/>
      <c:layout>
        <c:manualLayout>
          <c:xMode val="edge"/>
          <c:yMode val="edge"/>
          <c:x val="0.23216995447648"/>
          <c:y val="0.0639810426540284"/>
          <c:w val="0.209408194233687"/>
          <c:h val="0.101895734597156"/>
        </c:manualLayout>
      </c:layout>
      <c:spPr>
        <a:solidFill>
          <a:srgbClr val="FFFFFF"/>
        </a:solidFill>
        <a:ln w="25415">
          <a:noFill/>
        </a:ln>
      </c:spPr>
      <c:txPr>
        <a:bodyPr/>
        <a:lstStyle/>
        <a:p>
          <a:pPr>
            <a:defRPr sz="640" b="0" i="0" u="none" strike="noStrike" baseline="0">
              <a:solidFill>
                <a:srgbClr val="000000"/>
              </a:solidFill>
              <a:latin typeface="Trebuchet MS"/>
              <a:ea typeface="Trebuchet MS"/>
              <a:cs typeface="Trebuchet MS"/>
            </a:defRPr>
          </a:pPr>
          <a:endParaRPr lang="en-US"/>
        </a:p>
      </c:txPr>
    </c:legend>
    <c:plotVisOnly val="1"/>
    <c:dispBlanksAs val="gap"/>
  </c:chart>
  <c:spPr>
    <a:solidFill>
      <a:schemeClr val="bg1">
        <a:alpha val="0"/>
      </a:schemeClr>
    </a:solidFill>
    <a:ln>
      <a:noFill/>
    </a:ln>
  </c:spPr>
  <c:txPr>
    <a:bodyPr/>
    <a:lstStyle/>
    <a:p>
      <a:pPr>
        <a:defRPr sz="901" b="1" i="0" u="none" strike="noStrike" baseline="0">
          <a:solidFill>
            <a:srgbClr val="000000"/>
          </a:solidFill>
          <a:latin typeface="Trebuchet MS"/>
          <a:ea typeface="Trebuchet MS"/>
          <a:cs typeface="Trebuchet MS"/>
        </a:defRPr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autoTitleDeleted val="1"/>
    <c:plotArea>
      <c:layout>
        <c:manualLayout>
          <c:layoutTarget val="inner"/>
          <c:xMode val="edge"/>
          <c:yMode val="edge"/>
          <c:x val="0.0179856115107914"/>
          <c:y val="0.00359712230215828"/>
          <c:w val="0.974820143884892"/>
          <c:h val="0.974820143884892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solidFill>
              <a:srgbClr val="336699"/>
            </a:solidFill>
            <a:ln w="12709">
              <a:solidFill>
                <a:srgbClr val="000000"/>
              </a:solidFill>
              <a:prstDash val="solid"/>
            </a:ln>
          </c:spPr>
          <c:dPt>
            <c:idx val="0"/>
            <c:spPr>
              <a:solidFill>
                <a:srgbClr val="0066CC"/>
              </a:solidFill>
              <a:ln w="25418">
                <a:noFill/>
              </a:ln>
            </c:spPr>
          </c:dPt>
          <c:dPt>
            <c:idx val="1"/>
            <c:spPr>
              <a:solidFill>
                <a:srgbClr val="66CCFF"/>
              </a:solidFill>
              <a:ln w="25418">
                <a:noFill/>
              </a:ln>
            </c:spPr>
          </c:dPt>
          <c:dPt>
            <c:idx val="2"/>
            <c:spPr>
              <a:solidFill>
                <a:srgbClr val="C8F1FF"/>
              </a:solidFill>
              <a:ln w="25418">
                <a:noFill/>
              </a:ln>
            </c:spPr>
          </c:dPt>
          <c:dLbls>
            <c:dLbl>
              <c:idx val="0"/>
              <c:layout>
                <c:manualLayout>
                  <c:x val="-0.137931977252843"/>
                  <c:y val="-0.144698120190406"/>
                </c:manualLayout>
              </c:layout>
              <c:tx>
                <c:rich>
                  <a:bodyPr/>
                  <a:lstStyle/>
                  <a:p>
                    <a:pPr>
                      <a:defRPr sz="1000" b="0" i="0" u="none" strike="noStrike" baseline="0">
                        <a:solidFill>
                          <a:srgbClr val="FFFFFF"/>
                        </a:solidFill>
                        <a:latin typeface="Arial"/>
                        <a:ea typeface="Trebuchet MS"/>
                        <a:cs typeface="Arial"/>
                      </a:defRPr>
                    </a:pPr>
                    <a:r>
                      <a:rPr lang="en-US" sz="1000">
                        <a:latin typeface="Arial"/>
                        <a:cs typeface="Arial"/>
                      </a:rPr>
                      <a:t>IT,
62%</a:t>
                    </a:r>
                  </a:p>
                </c:rich>
              </c:tx>
              <c:spPr>
                <a:solidFill>
                  <a:srgbClr val="0066CC"/>
                </a:solidFill>
                <a:ln w="25418">
                  <a:noFill/>
                </a:ln>
              </c:spPr>
              <c:dLblPos val="bestFit"/>
            </c:dLbl>
            <c:dLbl>
              <c:idx val="1"/>
              <c:layout>
                <c:manualLayout>
                  <c:x val="0.139291338582677"/>
                  <c:y val="0.0574024681274646"/>
                </c:manualLayout>
              </c:layout>
              <c:tx>
                <c:rich>
                  <a:bodyPr/>
                  <a:lstStyle/>
                  <a:p>
                    <a:pPr>
                      <a:defRPr sz="1000" b="0" i="0" u="none" strike="noStrike" baseline="0">
                        <a:solidFill>
                          <a:srgbClr val="000000"/>
                        </a:solidFill>
                        <a:latin typeface="Arial"/>
                        <a:ea typeface="Trebuchet MS"/>
                        <a:cs typeface="Arial"/>
                      </a:defRPr>
                    </a:pPr>
                    <a:r>
                      <a:rPr lang="en-US" sz="1000">
                        <a:latin typeface="Arial"/>
                        <a:cs typeface="Arial"/>
                      </a:rPr>
                      <a:t>LS,
35%</a:t>
                    </a:r>
                  </a:p>
                </c:rich>
              </c:tx>
              <c:spPr>
                <a:noFill/>
                <a:ln w="25418">
                  <a:noFill/>
                </a:ln>
              </c:spPr>
              <c:dLblPos val="bestFit"/>
            </c:dLbl>
            <c:dLbl>
              <c:idx val="2"/>
              <c:layout/>
              <c:tx>
                <c:rich>
                  <a:bodyPr/>
                  <a:lstStyle/>
                  <a:p>
                    <a:pPr>
                      <a:defRPr sz="1000" b="0" i="0" u="none" strike="noStrike" baseline="0">
                        <a:solidFill>
                          <a:srgbClr val="000000"/>
                        </a:solidFill>
                        <a:latin typeface="Arial"/>
                        <a:ea typeface="Trebuchet MS"/>
                        <a:cs typeface="Arial"/>
                      </a:defRPr>
                    </a:pPr>
                    <a:r>
                      <a:rPr lang="en-US" sz="1000">
                        <a:latin typeface="Arial"/>
                        <a:cs typeface="Arial"/>
                      </a:rPr>
                      <a:t>CT,
 3%</a:t>
                    </a:r>
                  </a:p>
                </c:rich>
              </c:tx>
              <c:spPr>
                <a:noFill/>
                <a:ln w="25418">
                  <a:noFill/>
                </a:ln>
              </c:spPr>
              <c:dLblPos val="inEnd"/>
            </c:dLbl>
            <c:spPr>
              <a:noFill/>
              <a:ln w="25418">
                <a:noFill/>
              </a:ln>
            </c:spPr>
            <c:txPr>
              <a:bodyPr/>
              <a:lstStyle/>
              <a:p>
                <a:pPr>
                  <a:defRPr sz="901" b="0" i="0" u="none" strike="noStrike" baseline="0">
                    <a:solidFill>
                      <a:srgbClr val="000000"/>
                    </a:solidFill>
                    <a:latin typeface="Trebuchet MS"/>
                    <a:ea typeface="Trebuchet MS"/>
                    <a:cs typeface="Trebuchet MS"/>
                  </a:defRPr>
                </a:pPr>
                <a:endParaRPr lang="en-US"/>
              </a:p>
            </c:txPr>
            <c:dLblPos val="inEnd"/>
            <c:showVal val="1"/>
            <c:showCatName val="1"/>
            <c:separator>, </c:separator>
          </c:dLbls>
          <c:cat>
            <c:strRef>
              <c:f>Sheet1!$A$2:$A$4</c:f>
              <c:strCache>
                <c:ptCount val="3"/>
                <c:pt idx="0">
                  <c:v>IT</c:v>
                </c:pt>
                <c:pt idx="1">
                  <c:v>LS</c:v>
                </c:pt>
                <c:pt idx="2">
                  <c:v>CT</c:v>
                </c:pt>
              </c:strCache>
            </c:strRef>
          </c:cat>
          <c:val>
            <c:numRef>
              <c:f>Sheet1!$B$2:$B$4</c:f>
              <c:numCache>
                <c:formatCode>""#,##0"%";""\-""#,##0"%"</c:formatCode>
                <c:ptCount val="3"/>
                <c:pt idx="0">
                  <c:v>62.00000000000705</c:v>
                </c:pt>
                <c:pt idx="1">
                  <c:v>35.00000000000398</c:v>
                </c:pt>
                <c:pt idx="2">
                  <c:v>3.000000000000341</c:v>
                </c:pt>
              </c:numCache>
            </c:numRef>
          </c:val>
        </c:ser>
        <c:firstSliceAng val="0"/>
      </c:pieChart>
      <c:spPr>
        <a:noFill/>
        <a:ln w="25418">
          <a:noFill/>
        </a:ln>
      </c:spPr>
    </c:plotArea>
    <c:plotVisOnly val="1"/>
    <c:dispBlanksAs val="zero"/>
  </c:chart>
  <c:spPr>
    <a:solidFill>
      <a:srgbClr val="FFFFFF"/>
    </a:solidFill>
    <a:ln>
      <a:noFill/>
    </a:ln>
  </c:spPr>
  <c:txPr>
    <a:bodyPr/>
    <a:lstStyle/>
    <a:p>
      <a:pPr>
        <a:defRPr sz="1201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autoTitleDeleted val="1"/>
    <c:plotArea>
      <c:layout>
        <c:manualLayout>
          <c:layoutTarget val="inner"/>
          <c:xMode val="edge"/>
          <c:yMode val="edge"/>
          <c:x val="0.0124982498177645"/>
          <c:y val="0.0"/>
          <c:w val="0.757062146892655"/>
          <c:h val="0.956349206349207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solidFill>
              <a:srgbClr val="66CCFF"/>
            </a:solidFill>
            <a:ln w="25377">
              <a:noFill/>
            </a:ln>
          </c:spPr>
          <c:dLbls>
            <c:dLbl>
              <c:idx val="0"/>
              <c:layout/>
              <c:dLblPos val="outEnd"/>
              <c:showVal val="1"/>
            </c:dLbl>
            <c:dLbl>
              <c:idx val="1"/>
              <c:layout/>
              <c:dLblPos val="outEnd"/>
              <c:showVal val="1"/>
            </c:dLbl>
            <c:dLbl>
              <c:idx val="2"/>
              <c:layout/>
              <c:dLblPos val="outEnd"/>
              <c:showVal val="1"/>
            </c:dLbl>
            <c:delete val="1"/>
          </c:dLbls>
          <c:cat>
            <c:strRef>
              <c:f>Sheet1!$A$2:$A$4</c:f>
              <c:strCache>
                <c:ptCount val="3"/>
                <c:pt idx="0">
                  <c:v>Indifferent</c:v>
                </c:pt>
                <c:pt idx="1">
                  <c:v>Late / GE</c:v>
                </c:pt>
                <c:pt idx="2">
                  <c:v>Early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 formatCode="&quot;&quot;#,##0&quot;&quot;;&quot;&quot;\-&quot;&quot;#,##0&quot;&quot;">
                  <c:v>3.0</c:v>
                </c:pt>
                <c:pt idx="1">
                  <c:v>9.0</c:v>
                </c:pt>
                <c:pt idx="2" formatCode="&quot;&quot;#,##0&quot;&quot;;&quot;&quot;\-&quot;&quot;#,##0&quot;&quot;">
                  <c:v>4.0</c:v>
                </c:pt>
              </c:numCache>
            </c:numRef>
          </c:val>
        </c:ser>
        <c:gapWidth val="80"/>
        <c:axId val="809513032"/>
        <c:axId val="809516648"/>
      </c:barChart>
      <c:catAx>
        <c:axId val="809513032"/>
        <c:scaling>
          <c:orientation val="maxMin"/>
        </c:scaling>
        <c:axPos val="b"/>
        <c:numFmt formatCode="General" sourceLinked="1"/>
        <c:tickLblPos val="nextTo"/>
        <c:spPr>
          <a:ln w="1268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rebuchet MS"/>
                <a:ea typeface="Trebuchet MS"/>
                <a:cs typeface="Trebuchet MS"/>
              </a:defRPr>
            </a:pPr>
            <a:endParaRPr lang="en-US"/>
          </a:p>
        </c:txPr>
        <c:crossAx val="809516648"/>
        <c:crossesAt val="0.0"/>
        <c:auto val="1"/>
        <c:lblAlgn val="ctr"/>
        <c:lblOffset val="100"/>
        <c:tickLblSkip val="1"/>
        <c:tickMarkSkip val="1"/>
      </c:catAx>
      <c:valAx>
        <c:axId val="809516648"/>
        <c:scaling>
          <c:orientation val="minMax"/>
        </c:scaling>
        <c:axPos val="r"/>
        <c:numFmt formatCode="&quot;&quot;#,##0&quot;&quot;;&quot;&quot;\-&quot;&quot;#,##0&quot;&quot;" sourceLinked="1"/>
        <c:majorTickMark val="none"/>
        <c:tickLblPos val="none"/>
        <c:spPr>
          <a:ln w="9516">
            <a:noFill/>
          </a:ln>
        </c:spPr>
        <c:crossAx val="809513032"/>
        <c:crosses val="autoZero"/>
        <c:crossBetween val="between"/>
        <c:majorUnit val="1.0"/>
      </c:valAx>
      <c:spPr>
        <a:noFill/>
        <a:ln w="25377">
          <a:noFill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899" b="0" i="0" u="none" strike="noStrike" baseline="0">
          <a:solidFill>
            <a:srgbClr val="000000"/>
          </a:solidFill>
          <a:latin typeface="Trebuchet MS"/>
          <a:ea typeface="Trebuchet MS"/>
          <a:cs typeface="Trebuchet M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A17D02-99E5-484B-BC59-7FD43966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937</Words>
  <Characters>5342</Characters>
  <Application>Microsoft Macintosh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Fitzpatrick</dc:creator>
  <cp:keywords/>
  <cp:lastModifiedBy>Anna Fitzpatrick</cp:lastModifiedBy>
  <cp:revision>4</cp:revision>
  <cp:lastPrinted>2011-06-16T23:27:00Z</cp:lastPrinted>
  <dcterms:created xsi:type="dcterms:W3CDTF">2011-09-13T21:44:00Z</dcterms:created>
  <dcterms:modified xsi:type="dcterms:W3CDTF">2011-09-13T21:53:00Z</dcterms:modified>
</cp:coreProperties>
</file>