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 w:val="false"/>
          <w:bCs w:val="false"/>
          <w:sz w:val="22"/>
          <w:szCs w:val="22"/>
        </w:rPr>
        <w:t xml:space="preserve">[МЕСТО ДЛЯ ЛОГОТИПА СТУДИИ]</w:t>
      </w:r>
    </w:p>
    <w:p>
      <w:pPr>
        <w:spacing w:after="60" w:before="0"/>
        <w:jc w:val="center"/>
      </w:pPr>
      <w:r>
        <w:rPr>
          <w:b/>
          <w:bCs/>
          <w:sz w:val="28"/>
          <w:szCs w:val="28"/>
        </w:rPr>
        <w:t xml:space="preserve">Neat Studio</w:t>
      </w:r>
    </w:p>
    <w:p>
      <w:pPr>
        <w:spacing w:after="80" w:before="0"/>
        <w:jc w:val="center"/>
      </w:pPr>
      <w:r>
        <w:rPr>
          <w:b w:val="false"/>
          <w:bCs w:val="false"/>
          <w:sz w:val="20"/>
          <w:szCs w:val="20"/>
        </w:rPr>
        <w:t xml:space="preserve">Тел.: [телефон]   E-mail: [e-mail]   Сайт: [сайт]</w:t>
      </w:r>
    </w:p>
    <w:p>
      <w:pPr>
        <w:spacing w:after="200" w:before="2400"/>
        <w:jc w:val="center"/>
      </w:pPr>
      <w:r>
        <w:rPr>
          <w:b/>
          <w:bCs/>
          <w:sz w:val="40"/>
          <w:szCs w:val="40"/>
        </w:rPr>
        <w:t xml:space="preserve">ТЕХНИЧЕСКОЕ ЗАДАНИЕ</w:t>
      </w:r>
    </w:p>
    <w:p>
      <w:pPr>
        <w:spacing w:after="60" w:before="0"/>
        <w:jc w:val="center"/>
      </w:pPr>
      <w:r>
        <w:rPr>
          <w:b w:val="false"/>
          <w:bCs w:val="false"/>
          <w:sz w:val="28"/>
          <w:szCs w:val="28"/>
        </w:rPr>
        <w:t xml:space="preserve">на разработку MVP low-code платформы</w:t>
      </w:r>
    </w:p>
    <w:p>
      <w:pPr>
        <w:spacing w:after="120" w:before="0"/>
        <w:jc w:val="center"/>
      </w:pPr>
      <w:r>
        <w:rPr>
          <w:b w:val="false"/>
          <w:bCs w:val="false"/>
          <w:sz w:val="28"/>
          <w:szCs w:val="28"/>
        </w:rPr>
        <w:t xml:space="preserve">динамического финансового моделирования</w:t>
      </w:r>
    </w:p>
    <w:p>
      <w:pPr>
        <w:spacing w:after="200" w:before="0"/>
        <w:jc w:val="center"/>
      </w:pPr>
      <w:r>
        <w:rPr>
          <w:b/>
          <w:bCs/>
          <w:sz w:val="28"/>
          <w:szCs w:val="28"/>
        </w:rPr>
        <w:t xml:space="preserve">«[Название продукта]»</w:t>
      </w:r>
    </w:p>
    <w:p>
      <w:pPr>
        <w:spacing w:after="200" w:before="1200"/>
        <w:jc w:val="center"/>
      </w:pPr>
      <w:r>
        <w:rPr>
          <w:b w:val="false"/>
          <w:bCs w:val="false"/>
          <w:sz w:val="22"/>
          <w:szCs w:val="22"/>
        </w:rPr>
        <w:t xml:space="preserve">[МЕСТО ДЛЯ ЛОГОТИПА КОМПАНИИ-КЛИЕНТА — при наличии]</w:t>
      </w:r>
    </w:p>
    <w:p>
      <w:pPr>
        <w:spacing w:after="40" w:before="2000"/>
        <w:jc w:val="center"/>
      </w:pPr>
      <w:r>
        <w:rPr>
          <w:b w:val="false"/>
          <w:bCs w:val="false"/>
          <w:sz w:val="20"/>
          <w:szCs w:val="20"/>
        </w:rPr>
        <w:t xml:space="preserve">Версия 1.0 — 11 июня 2026 г.</w:t>
      </w:r>
    </w:p>
    <w:p>
      <w:pPr>
        <w:spacing w:after="120" w:before="0"/>
        <w:jc w:val="center"/>
      </w:pPr>
      <w:r>
        <w:rPr>
          <w:b w:val="false"/>
          <w:bCs w:val="false"/>
          <w:sz w:val="20"/>
          <w:szCs w:val="20"/>
        </w:rPr>
        <w:t xml:space="preserve">Статус: проект, на согласование с Заказчиком</w:t>
      </w:r>
    </w:p>
    <w:p>
      <w:r>
        <w:br w:type="page"/>
      </w:r>
    </w:p>
    <w:p>
      <w:pPr>
        <w:spacing w:after="160"/>
      </w:pPr>
      <w:r>
        <w:rPr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Общие сведения</w:t>
      </w:r>
    </w:p>
    <w:p>
      <w:pPr>
        <w:spacing w:after="80" w:before="200"/>
      </w:pPr>
      <w:r>
        <w:rPr>
          <w:b/>
          <w:bCs/>
        </w:rPr>
        <w:t xml:space="preserve">1.1. Назначение документа</w:t>
      </w:r>
    </w:p>
    <w:p>
      <w:pPr>
        <w:spacing w:after="120"/>
        <w:jc w:val="both"/>
      </w:pPr>
      <w:r>
        <w:t xml:space="preserve">Настоящее техническое задание (далее — ТЗ) определяет требования к разработке минимально жизнеспособного продукта (MVP) low-code платформы динамического финансового моделирования (далее — Платформа). ТЗ является основанием для оценки стоимости и сроков, проектирования, разработки и приёмки работ.</w:t>
      </w:r>
    </w:p>
    <w:p>
      <w:pPr>
        <w:spacing w:after="80" w:before="200"/>
      </w:pPr>
      <w:r>
        <w:rPr>
          <w:b/>
          <w:bCs/>
        </w:rPr>
        <w:t xml:space="preserve">1.2. Описание продукта</w:t>
      </w:r>
    </w:p>
    <w:p>
      <w:pPr>
        <w:spacing w:after="120"/>
        <w:jc w:val="both"/>
      </w:pPr>
      <w:r>
        <w:t xml:space="preserve">Платформа превращает привычную электронную таблицу (Google Sheets / Excel) в автоматически обновляемую финансовую модель предприятия. Данные поступают через коннекторы и загрузку файлов, обрабатываются встроенным ИИ (распознавание, категоризация, проверка качества) и отображаются на BI-дашборде. Ключевая ценность для пользователя: ручной перенос цифр исключается — модель обновляется сама и всегда отражает актуальное состояние бизнеса.</w:t>
      </w:r>
    </w:p>
    <w:p>
      <w:pPr>
        <w:spacing w:after="80" w:before="200"/>
      </w:pPr>
      <w:r>
        <w:rPr>
          <w:b/>
          <w:bCs/>
        </w:rPr>
        <w:t xml:space="preserve">1.3. Цели MVP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Подтвердить ключевой сценарий: «подключил источник данных → финмодель и дашборд обновились автоматически».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Получить первых платящих пользователей и обратную связь для приоритизации развития.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Заложить архитектурную основу для следующих этапов: мобильное приложение, мониторинг и алерты, совместная работа, модуль привлечения финансирования.</w:t>
      </w:r>
    </w:p>
    <w:p>
      <w:pPr>
        <w:spacing w:after="80" w:before="200"/>
      </w:pPr>
      <w:r>
        <w:rPr>
          <w:b/>
          <w:bCs/>
        </w:rPr>
        <w:t xml:space="preserve">1.4. Целевая аудитория</w:t>
      </w:r>
    </w:p>
    <w:p>
      <w:pPr>
        <w:spacing w:after="120"/>
        <w:jc w:val="both"/>
      </w:pPr>
      <w:r>
        <w:t xml:space="preserve">Собственники и руководители малого и среднего бизнеса; финансовые директора и финансовые менеджеры; бухгалтеры и финансисты, обслуживающие компании на аутсорсе; бизнес-консультанты и трекеры.</w:t>
      </w:r>
    </w:p>
    <w:p>
      <w:pPr>
        <w:spacing w:after="80" w:before="200"/>
      </w:pPr>
      <w:r>
        <w:rPr>
          <w:b/>
          <w:bCs/>
        </w:rPr>
        <w:t xml:space="preserve">1.5. Платформа реализации MVP</w:t>
      </w:r>
    </w:p>
    <w:p>
      <w:pPr>
        <w:spacing w:after="120"/>
        <w:jc w:val="both"/>
      </w:pPr>
      <w:r>
        <w:t xml:space="preserve">MVP реализуется как веб-приложение (desktop-first) с адаптивной вёрсткой; просмотр дашборда корректен на планшете и смартфоне. Нативные мобильное и десктоп-приложения в объём MVP не входят (см. раздел 3).</w:t>
      </w:r>
    </w:p>
    <w:p>
      <w:pPr>
        <w:pStyle w:val="Heading1"/>
      </w:pPr>
      <w:r>
        <w:t xml:space="preserve">2. Термины и определения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Финансовая модель (финмодель)</w:t>
            </w:r>
          </w:p>
        </w:tc>
        <w:tc>
          <w:tcPr>
            <w:tcW w:type="dxa" w:w="6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Структурированный расчёт доходов, расходов и денежных потоков предприятия по периодам, в разрезе плана и факта.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Коннектор</w:t>
            </w:r>
          </w:p>
        </w:tc>
        <w:tc>
          <w:tcPr>
            <w:tcW w:type="dxa" w:w="6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Механизм автоматического получения данных из внешнего источника (сервис, файл, таблица).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Дашборд</w:t>
            </w:r>
          </w:p>
        </w:tc>
        <w:tc>
          <w:tcPr>
            <w:tcW w:type="dxa" w:w="6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Экран с визуализацией ключевых показателей: виджеты, графики, план/факт-анализ.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Виджет</w:t>
            </w:r>
          </w:p>
        </w:tc>
        <w:tc>
          <w:tcPr>
            <w:tcW w:type="dxa" w:w="6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Отдельный визуальный блок дашборда (график, числовой показатель, таблица).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ИИ-модуль</w:t>
            </w:r>
          </w:p>
        </w:tc>
        <w:tc>
          <w:tcPr>
            <w:tcW w:type="dxa" w:w="6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Компонент на основе больших языковых моделей, выполняющий распознавание файлов, категоризацию операций и ответы на вопросы пользователя по данным.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Маппинг</w:t>
            </w:r>
          </w:p>
        </w:tc>
        <w:tc>
          <w:tcPr>
            <w:tcW w:type="dxa" w:w="6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Сопоставление операций из источника статьям финансовой модели.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Рабочее пространство</w:t>
            </w:r>
          </w:p>
        </w:tc>
        <w:tc>
          <w:tcPr>
            <w:tcW w:type="dxa" w:w="6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Изолированная область данных одной компании пользователя.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6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Отдельная запись о движении денежных средств (платёж, поступление).</w:t>
            </w:r>
          </w:p>
        </w:tc>
      </w:tr>
    </w:tbl>
    <w:p>
      <w:pPr>
        <w:pStyle w:val="Heading1"/>
      </w:pPr>
      <w:r>
        <w:t xml:space="preserve">3. Границы MVP</w:t>
      </w:r>
    </w:p>
    <w:p>
      <w:pPr>
        <w:spacing w:after="80" w:before="200"/>
      </w:pPr>
      <w:r>
        <w:rPr>
          <w:b/>
          <w:bCs/>
        </w:rPr>
        <w:t xml:space="preserve">3.1. Входит в объём MVP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Регистрация, авторизация, рабочие пространства и роли пользователей.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Финансовая модель на базе готового шаблона с синхронизацией Google Sheets и импортом/экспортом Excel.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Загрузка банковских выписок и автоматическая категоризация операций средствами ИИ.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BI-дашборд со стандартным набором виджетов и план/факт-анализом.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ИИ-ассистент: чат по данным финансовой модели.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Тарифы, онлайн-оплата подписки, личный кабинет.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Административная панель Платформы.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E-mail и внутрисервисные уведомления о статусе обработки данных.</w:t>
      </w:r>
    </w:p>
    <w:p>
      <w:pPr>
        <w:spacing w:after="80" w:before="200"/>
      </w:pPr>
      <w:r>
        <w:rPr>
          <w:b/>
          <w:bCs/>
        </w:rPr>
        <w:t xml:space="preserve">3.2. Не входит в MVP (последующие релизы)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Нативные мобильное и десктоп-приложения.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Прямые API-интеграции с банками (открытый банкинг) и учётными системами (1С, ERP, CRM).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Совместное редактирование в реальном времени, комментарии и упоминания (этап «совместная работа»).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Мониторинг и алерты по отклонениям метрик.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Конструктор собственных шаблонов моделей и маркетплейс шаблонов.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Модуль привлечения финансирования (витрина живых финмоделей для банков и инвесторов).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Публичный API Платформы для сторонних разработчиков.</w:t>
      </w:r>
    </w:p>
    <w:p>
      <w:pPr>
        <w:pStyle w:val="Heading1"/>
      </w:pPr>
      <w:r>
        <w:t xml:space="preserve">4. Функциональные требования</w:t>
      </w:r>
    </w:p>
    <w:p>
      <w:pPr>
        <w:spacing w:after="80" w:before="200"/>
      </w:pPr>
      <w:r>
        <w:rPr>
          <w:b/>
          <w:bCs/>
        </w:rPr>
        <w:t xml:space="preserve">4.1. Регистрация и авторизация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Регистрация по e-mail и паролю с подтверждением адреса.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Вход через аккаунт Google (OAuth 2.0).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Восстановление пароля по e-mail.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Управление сессиями, выход со всех устройств.</w:t>
      </w:r>
    </w:p>
    <w:p>
      <w:pPr>
        <w:spacing w:after="80" w:before="200"/>
      </w:pPr>
      <w:r>
        <w:rPr>
          <w:b/>
          <w:bCs/>
        </w:rPr>
        <w:t xml:space="preserve">4.2. Рабочие пространства и роли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Создание рабочего пространства; одно пространство соответствует одной компании.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Роли: Владелец (полный доступ, управление оплатой), Редактор (данные и модель), Наблюдатель (только просмотр модели и дашборда).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Приглашение участников по e-mail; ограничение числа участников определяется тарифом.</w:t>
      </w:r>
    </w:p>
    <w:p>
      <w:pPr>
        <w:spacing w:after="80" w:before="200"/>
      </w:pPr>
      <w:r>
        <w:rPr>
          <w:b/>
          <w:bCs/>
        </w:rPr>
        <w:t xml:space="preserve">4.3. Финансовая модель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Создание модели из предустановленного универсального шаблона: отчёт о прибылях и убытках (P&amp;L), движение денежных средств (ДДС), сводка ключевых показателей; горизонт 12–24 месяца, помесячно.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Режим А (основной): модель хранится в Google-таблице пользователя; Платформа создаёт таблицу из шаблона, читает и записывает данные через Google Sheets API.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Режим Б: загрузка собственного Excel-файла (.xlsx) с разметкой структуры через мастер импорта.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Колонки «план» и «факт» по каждому периоду; автоматический расчёт отклонений в абсолютном и процентном выражении.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Журнал обновлений данных: дата, источник, количество операций, статус.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Экспорт модели в формат .xlsx.</w:t>
      </w:r>
    </w:p>
    <w:p>
      <w:pPr>
        <w:spacing w:after="80" w:before="200"/>
      </w:pPr>
      <w:r>
        <w:rPr>
          <w:b/>
          <w:bCs/>
        </w:rPr>
        <w:t xml:space="preserve">4.4. Источники данных и загрузка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Загрузка банковских выписок в форматах CSV, XLSX и текстовом формате 1CClientBankExchange.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Подключение существующей Google-таблицы как источника данных (выбор листа и диапазона).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Ручное добавление и редактирование операций.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Автоматическое обновление подключённых источников по расписанию (не реже одного раза в сутки) и по кнопке «Обновить».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Журнал импортов со статусами: успешно, ошибка, требует подтверждения.</w:t>
      </w:r>
    </w:p>
    <w:p>
      <w:pPr>
        <w:spacing w:after="80" w:before="200"/>
      </w:pPr>
      <w:r>
        <w:rPr>
          <w:b/>
          <w:bCs/>
        </w:rPr>
        <w:t xml:space="preserve">4.5. ИИ-модуль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Распознавание структуры загруженного файла: автоматическое определение колонок даты, суммы, назначения платежа и контрагента.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Автоматическая категоризация операций по статьям финмодели с оценкой уверенности; операции с низкой уверенностью помечаются «требует подтверждения».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Дообучение на правках: подтверждённые пользователем категории применяются к аналогичным операциям в дальнейшем.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Проверка качества данных: дубликаты, пропуски периодов, аномальные суммы — формируется список замечаний.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ИИ-ассистент (чат): ответы на вопросы по данным модели на естественном языке, краткая сводка по итогам периода; ассистент работает в режиме «только чтение» и не изменяет данные.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Целевая точность автокатегоризации — не менее 80% операций без ручной правки на эталонной выборке, согласуемой на этапе проектирования.</w:t>
      </w:r>
    </w:p>
    <w:p>
      <w:pPr>
        <w:spacing w:after="80" w:before="200"/>
      </w:pPr>
      <w:r>
        <w:rPr>
          <w:b/>
          <w:bCs/>
        </w:rPr>
        <w:t xml:space="preserve">4.6. Дашборд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Стандартные виджеты: выручка; расходы по статьям; валовая, операционная и чистая прибыль; денежный поток; остаток денежных средств; план/факт с отклонениями; топ-10 статей расходов; динамика показателей по месяцам.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Фильтры: период (месяц, квартал, год, произвольный диапазон); сравнение с планом или с прошлым периодом.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Индикация актуальности: дата последнего обновления, состояние «данные устарели», кнопка обновления.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Экспорт дашборда в PDF и PNG.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Индивидуальная настройка виджетов в MVP не предусмотрена: фиксированный набор с возможностью скрытия отдельных виджетов.</w:t>
      </w:r>
    </w:p>
    <w:p>
      <w:pPr>
        <w:spacing w:after="80" w:before="200"/>
      </w:pPr>
      <w:r>
        <w:rPr>
          <w:b/>
          <w:bCs/>
        </w:rPr>
        <w:t xml:space="preserve">4.7. Уведомления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E-mail: завершение импорта, ошибки синхронизации, окончание пробного периода, неуспешный платёж.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Внутрисервисные уведомления (значок в шапке) по тем же событиям.</w:t>
      </w:r>
    </w:p>
    <w:p>
      <w:pPr>
        <w:spacing w:after="80" w:before="200"/>
      </w:pPr>
      <w:r>
        <w:rPr>
          <w:b/>
          <w:bCs/>
        </w:rPr>
        <w:t xml:space="preserve">4.8. Тарифы и подписка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Пробный период 14 дней с полным функционалом.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Тарифные планы (предварительно): «Старт» — 1 компания, 2 пользователя; «Бизнес» — до 5 компаний, до 5 пользователей. Точные параметры и цены утверждаются Заказчиком до начала разработки.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Оформление, продление, смена и отмена подписки в личном кабинете; история платежей и счета.</w:t>
      </w:r>
    </w:p>
    <w:p>
      <w:pPr>
        <w:spacing w:after="80" w:before="200"/>
      </w:pPr>
      <w:r>
        <w:rPr>
          <w:b/>
          <w:bCs/>
        </w:rPr>
        <w:t xml:space="preserve">4.9. Административная панель (для команды Платформы)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Список пользователей и рабочих пространств, поиск, блокировка.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Подписки и платежи, ручное продление.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Журнал ошибок интеграций и импортов.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Базовые метрики: регистрации, активные пространства, конверсия в оплату.</w:t>
      </w:r>
    </w:p>
    <w:p>
      <w:pPr>
        <w:pStyle w:val="Heading1"/>
      </w:pPr>
      <w:r>
        <w:t xml:space="preserve">5. Страницы и экраны</w:t>
      </w:r>
    </w:p>
    <w:p>
      <w:pPr>
        <w:spacing w:after="120"/>
        <w:jc w:val="both"/>
      </w:pPr>
      <w:r>
        <w:t xml:space="preserve">Общее количество уникальных страниц и экранов MVP — 13. Дополнительно реализуются системные страницы: 404, политика конфиденциальности, публичная оферта.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Страница / экран</w:t>
            </w:r>
          </w:p>
        </w:tc>
        <w:tc>
          <w:tcPr>
            <w:tcW w:type="dxa" w:w="6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Расположение и содержимое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Главная (лендинг)</w:t>
            </w:r>
          </w:p>
        </w:tc>
        <w:tc>
          <w:tcPr>
            <w:tcW w:type="dxa" w:w="6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Шапка с логотипом и кнопкой входа; первый экран с оффером и кнопкой «Попробовать бесплатно»; блок «Как это работает» (3 шага: подключите источник — ИИ разложит данные по статьям — следите за живым дашбордом); блок возможностей (коннекторы, ИИ, дашборд); скриншоты интерфейса; блок тарифов; FAQ; подвал с контактами и ссылками на оферту и политику конфиденциальности.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Регистрация / вход</w:t>
            </w:r>
          </w:p>
        </w:tc>
        <w:tc>
          <w:tcPr>
            <w:tcW w:type="dxa" w:w="6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Формы регистрации и входа (e-mail, пароль); кнопка «Войти через Google»; восстановление пароля; согласие с офертой и политикой конфиденциальности.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Онбординг</w:t>
            </w:r>
          </w:p>
        </w:tc>
        <w:tc>
          <w:tcPr>
            <w:tcW w:type="dxa" w:w="6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Пошаговый мастер: создание компании; выбор шаблона финмодели; подключение Google-таблицы или загрузка банковской выписки; переход на дашборд.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Рабочий стол</w:t>
            </w:r>
          </w:p>
        </w:tc>
        <w:tc>
          <w:tcPr>
            <w:tcW w:type="dxa" w:w="6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Карточки компаний (рабочих пространств) со статусом данных и датой последнего обновления; кнопка создания нового пространства; переключение между пространствами.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Финансовая модель</w:t>
            </w:r>
          </w:p>
        </w:tc>
        <w:tc>
          <w:tcPr>
            <w:tcW w:type="dxa" w:w="6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Табличное представление модели (встроенная Google-таблица или просмотр данных); панель источника и статуса синхронизации; журнал обновлений; кнопки «Обновить» и «Экспорт в Excel».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Дашборд</w:t>
            </w:r>
          </w:p>
        </w:tc>
        <w:tc>
          <w:tcPr>
            <w:tcW w:type="dxa" w:w="6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Сетка виджетов; фильтр периода; переключатель план/факт; дата последнего обновления данных; кнопки обновления и экспорта в PDF/PNG.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Данные: источники</w:t>
            </w:r>
          </w:p>
        </w:tc>
        <w:tc>
          <w:tcPr>
            <w:tcW w:type="dxa" w:w="6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Список подключённых источников со статусами; добавление источника; загрузка файла выписки; журнал импортов.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Данные: операции и категории</w:t>
            </w:r>
          </w:p>
        </w:tc>
        <w:tc>
          <w:tcPr>
            <w:tcW w:type="dxa" w:w="6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Таблица операций (дата, сумма, контрагент, назначение, статья); фильтр «требует подтверждения»; массовое присвоение статей; подтверждение категорий, предложенных ИИ; список замечаний по качеству данных.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ИИ-ассистент</w:t>
            </w:r>
          </w:p>
        </w:tc>
        <w:tc>
          <w:tcPr>
            <w:tcW w:type="dxa" w:w="6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Чат с историей сообщений; быстрые вопросы-подсказки; ссылки на строки модели, из которых взяты цифры в ответах.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Настройки компании и команда</w:t>
            </w:r>
          </w:p>
        </w:tc>
        <w:tc>
          <w:tcPr>
            <w:tcW w:type="dxa" w:w="6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Название и реквизиты компании; список участников; приглашение по e-mail; назначение ролей.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Профиль пользователя</w:t>
            </w:r>
          </w:p>
        </w:tc>
        <w:tc>
          <w:tcPr>
            <w:tcW w:type="dxa" w:w="6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Личные данные; смена пароля; подключённые аккаунты (Google); настройки уведомлений.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Тарифы и оплата (личный кабинет)</w:t>
            </w:r>
          </w:p>
        </w:tc>
        <w:tc>
          <w:tcPr>
            <w:tcW w:type="dxa" w:w="6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Текущий тариф и лимиты; смена тарифа; способ оплаты; история платежей и счета.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Админ-панель</w:t>
            </w:r>
          </w:p>
        </w:tc>
        <w:tc>
          <w:tcPr>
            <w:tcW w:type="dxa" w:w="6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Разделы: пользователи, рабочие пространства, подписки и платежи, журнал ошибок, метрики. Доступ только для команды Платформы.</w:t>
            </w:r>
          </w:p>
        </w:tc>
      </w:tr>
    </w:tbl>
    <w:p>
      <w:pPr>
        <w:pStyle w:val="Heading1"/>
      </w:pPr>
      <w:r>
        <w:t xml:space="preserve">6. Интеграции с внешними сервисами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Sheets API / Google Drive API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Создание и синхронизация финмоделей, чтение таблиц-источников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OAuth 2.0; доступ только к файлам, выбранным пользователем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Вход через аккаунт Google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Провайдер ИИ (LLM API: Anthropic Claude, OpenAI или аналог)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Категоризация операций, распознавание файлов, ИИ-ассистент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Выбор провайдера — на этапе проектирования с учётом требований к обработке данных целевого рынка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Платёжный провайдер (Stripe / Paddle — международный рынок; ЮKassa / CloudPayments — РФ)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Рекуррентная оплата подписок банковскими картами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Выбор зависит от целевого рынка (см. раздел 10)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Сервис транзакционных писем (SendGrid / Postmark / Unisender)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Подтверждение регистрации, уведомления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Веб-аналитика (Google Analytics / Яндекс.Метрика)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Поведение пользователей, воронка регистрации и оплаты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Форматы банковских выписок: CSV, XLSX, 1CClientBankExchange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Загрузка фактических операций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Прямые API-интеграции с банками в MVP не входят</w:t>
            </w:r>
          </w:p>
        </w:tc>
      </w:tr>
    </w:tbl>
    <w:p>
      <w:pPr>
        <w:pStyle w:val="Heading1"/>
      </w:pPr>
      <w:r>
        <w:t xml:space="preserve">7. Оплата на сайте</w:t>
      </w:r>
    </w:p>
    <w:p>
      <w:pPr>
        <w:spacing w:after="120"/>
        <w:jc w:val="both"/>
      </w:pPr>
      <w:r>
        <w:t xml:space="preserve">Возможность оплаты на сайте предусмотрена. Реализуется рекуррентная оплата подписки банковскими картами через платёжного провайдера: оформление подписки по окончании пробного периода, автоматическое продление, смена тарифа, отмена, выставление счетов и чеков средствами провайдера.</w:t>
      </w:r>
    </w:p>
    <w:p>
      <w:pPr>
        <w:spacing w:after="120"/>
        <w:jc w:val="both"/>
      </w:pPr>
      <w:r>
        <w:t xml:space="preserve">Приём разовых платежей на лендинге без регистрации не предусмотрен. Фискализация и налоговое оформление платежей — в соответствии с законодательством целевого рынка (уточняется, см. раздел 10).</w:t>
      </w:r>
    </w:p>
    <w:p>
      <w:pPr>
        <w:pStyle w:val="Heading1"/>
      </w:pPr>
      <w:r>
        <w:t xml:space="preserve">8. Нефункциональные требования</w:t>
      </w:r>
    </w:p>
    <w:p>
      <w:pPr>
        <w:spacing w:after="80" w:before="200"/>
      </w:pPr>
      <w:r>
        <w:rPr>
          <w:b/>
          <w:bCs/>
        </w:rPr>
        <w:t xml:space="preserve">8.1. Производительность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Загрузка интерфейса — не более 3 секунд при стандартном соединении.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Импорт выписки до 10 000 операций — не более 60 секунд (с фоновой обработкой и индикацией прогресса).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Построение дашборда по модели на 24 месяца — не более 5 секунд.</w:t>
      </w:r>
    </w:p>
    <w:p>
      <w:pPr>
        <w:spacing w:after="80" w:before="200"/>
      </w:pPr>
      <w:r>
        <w:rPr>
          <w:b/>
          <w:bCs/>
        </w:rPr>
        <w:t xml:space="preserve">8.2. Совместимость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Последние две версии браузеров Chrome, Safari, Firefox, Edge.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Основное разрешение — от 1280 px (desktop-first); корректный просмотр дашборда на планшете и смартфоне.</w:t>
      </w:r>
    </w:p>
    <w:p>
      <w:pPr>
        <w:spacing w:after="80" w:before="200"/>
      </w:pPr>
      <w:r>
        <w:rPr>
          <w:b/>
          <w:bCs/>
        </w:rPr>
        <w:t xml:space="preserve">8.3. Безопасность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HTTPS на всех страницах; хранение паролей в виде хэшей (bcrypt или argon2).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Разграничение доступа по ролям; шифрование токенов интеграций при хранении.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Защита от уязвимостей OWASP Top 10; журналирование действий пользователей с данными.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Ежедневное резервное копирование базы данных с хранением копий не менее 30 дней.</w:t>
      </w:r>
    </w:p>
    <w:p>
      <w:pPr>
        <w:spacing w:after="80" w:before="200"/>
      </w:pPr>
      <w:r>
        <w:rPr>
          <w:b/>
          <w:bCs/>
        </w:rPr>
        <w:t xml:space="preserve">8.4. Персональные данные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Соответствие законодательству целевого рынка о персональных данных (GDPR для ЕС / 152-ФЗ для РФ — уточняется).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Политика конфиденциальности и публичная оферта на сайте; согласие на обработку данных при регистрации.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Данные пользователей не используются для обучения публичных моделей ИИ; условие фиксируется при выборе провайдера ИИ.</w:t>
      </w:r>
    </w:p>
    <w:p>
      <w:pPr>
        <w:spacing w:after="80" w:before="200"/>
      </w:pPr>
      <w:r>
        <w:rPr>
          <w:b/>
          <w:bCs/>
        </w:rPr>
        <w:t xml:space="preserve">8.5. Надёжность и масштабируемость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Целевая доступность сервиса — 99,5%.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Архитектура выдерживает до 1 000 активных рабочих пространств без переработки.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Фоновая обработка импортов и синхронизаций через очередь задач.</w:t>
      </w:r>
    </w:p>
    <w:p>
      <w:pPr>
        <w:spacing w:after="80" w:before="200"/>
      </w:pPr>
      <w:r>
        <w:rPr>
          <w:b/>
          <w:bCs/>
        </w:rPr>
        <w:t xml:space="preserve">8.6. Технологический стек (рекомендуемый)</w:t>
      </w:r>
    </w:p>
    <w:p>
      <w:pPr>
        <w:spacing w:after="120"/>
        <w:jc w:val="both"/>
      </w:pPr>
      <w:r>
        <w:t xml:space="preserve">Фронтенд — React / Next.js; бэкенд — Node.js (NestJS) или Python (FastAPI); база данных — PostgreSQL; очереди и кэш — Redis; размещение — облачный хостинг. Финальный стек утверждается на этапе проектирования. Исходный код передаётся Заказчику в Git-репозитории вместе с инструкцией по развёртыванию.</w:t>
      </w:r>
    </w:p>
    <w:p>
      <w:pPr>
        <w:pStyle w:val="Heading1"/>
      </w:pPr>
      <w:r>
        <w:t xml:space="preserve">9. Этапы работ и порядок приёмки</w:t>
      </w:r>
    </w:p>
    <w:p>
      <w:pPr>
        <w:spacing w:after="80" w:before="200"/>
      </w:pPr>
      <w:r>
        <w:rPr>
          <w:b/>
          <w:bCs/>
        </w:rPr>
        <w:t xml:space="preserve">9.1. Этапы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Этап 1. Проектирование: прототипы экранов, уточнение ТЗ, выбор провайдеров ИИ и платежей, эталонная выборка для категоризации.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Этап 2. Дизайн интерфейса по утверждённым прототипам.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Этап 3. Разработка ядра: финмодель, источники данных, ИИ-категоризация.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Этап 4. Дашборд, ИИ-ассистент, тарифы и оплата.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Этап 5. Тестирование, наполнение лендинга, запуск.</w:t>
      </w:r>
    </w:p>
    <w:p>
      <w:pPr>
        <w:spacing w:after="80" w:before="200"/>
      </w:pPr>
      <w:r>
        <w:rPr>
          <w:b/>
          <w:bCs/>
        </w:rPr>
        <w:t xml:space="preserve">9.2. Критерии приёмки MVP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Сквозной сценарий проходит без участия разработчиков: регистрация → онбординг → загрузка выписки или подключение таблицы → автоматическое обновление модели → корректный дашборд.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Точность автокатегоризации — не менее 80% на согласованной эталонной выборке.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Оформление и автопродление подписки подтверждены тестовыми и боевыми платежами.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Выполнены нефункциональные требования раздела 8.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Передана документация: инструкция администратора, описание развёртывания.</w:t>
      </w:r>
    </w:p>
    <w:p>
      <w:pPr>
        <w:pStyle w:val="Heading1"/>
      </w:pPr>
      <w:r>
        <w:t xml:space="preserve">10. Допущения и открытые вопросы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Название продукта и брендинг — предоставляются Заказчиком.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Целевой рынок (ЕС / РФ / международный) — влияет на выбор платёжного провайдера, требования к персональным данным и языки интерфейса.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Провайдер ИИ и бюджет на использование API.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Точная тарифная сетка и цены.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Приоритетные банки и форматы выписок для первой версии.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Наличие фирменного стиля и логотипа Заказчика для дизайна интерфейса.</w:t>
      </w:r>
    </w:p>
    <w:p>
      <w:pPr>
        <w:spacing w:after="120"/>
        <w:jc w:val="both"/>
      </w:pPr>
      <w:r>
        <w:t xml:space="preserve">Перечисленные вопросы фиксируются и закрываются на этапе проектирования; их уточнение может повлечь корректировку настоящего ТЗ по согласованию сторон.</w:t>
      </w:r>
    </w:p>
    <w:sectPr>
      <w:footerReference w:type="default" r:id="rId7"/>
      <w:footerReference w:type="firs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стр.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2026-06-11T11:25:30.790Z</dcterms:created>
  <dcterms:modified xsi:type="dcterms:W3CDTF">2026-06-11T11:25:30.790Z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