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4389120" cy="1072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e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7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Label"/>
      </w:pPr>
      <w:r>
        <w:t>DESIGN AUDIT AND REDESIGN SPECIFICATION</w:t>
      </w:r>
    </w:p>
    <w:p>
      <w:pPr>
        <w:pStyle w:val="Title"/>
      </w:pPr>
      <w:r>
        <w:t>Data Fin Model</w:t>
      </w:r>
    </w:p>
    <w:p>
      <w:pPr>
        <w:pStyle w:val="Subtitle"/>
      </w:pPr>
      <w:r>
        <w:t>Рекомендации по редизайну интерфейса, визуальной системе и логотипу</w:t>
      </w:r>
    </w:p>
    <w:p>
      <w:r>
        <w:rPr>
          <w:rFonts w:ascii="Inter" w:hAnsi="Inter"/>
          <w:color w:val="64748B"/>
          <w:sz w:val="22"/>
        </w:rPr>
        <w:t>Основано на текущем интерфейсе MVP, представленном на скриншоте. Документ можно использовать как задание для дизайна и фронтенд-реализации.</w:t>
      </w:r>
    </w:p>
    <w:p>
      <w:pPr>
        <w:spacing w:after="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45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12" w:color="2563EB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2563EB"/>
                <w:sz w:val="48"/>
              </w:rPr>
              <w:t>01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64748B"/>
                <w:sz w:val="16"/>
              </w:rPr>
              <w:t>BRAND</w:t>
            </w:r>
          </w:p>
        </w:tc>
        <w:tc>
          <w:tcPr>
            <w:tcW w:type="dxa" w:w="345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12" w:color="14B8A6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4B8A6"/>
                <w:sz w:val="48"/>
              </w:rPr>
              <w:t>02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64748B"/>
                <w:sz w:val="16"/>
              </w:rPr>
              <w:t>PRODUCT UI</w:t>
            </w:r>
          </w:p>
        </w:tc>
        <w:tc>
          <w:tcPr>
            <w:tcW w:type="dxa" w:w="345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12" w:color="0F172A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0F172A"/>
                <w:sz w:val="48"/>
              </w:rPr>
              <w:t>03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64748B"/>
                <w:sz w:val="16"/>
              </w:rPr>
              <w:t>IMPLEMENTATION</w:t>
            </w:r>
          </w:p>
        </w:tc>
      </w:tr>
    </w:tbl>
    <w:p>
      <w:pPr>
        <w:spacing w:after="5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CFE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4B8A6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4B8A6"/>
                <w:sz w:val="20"/>
              </w:rPr>
              <w:t>Целевая визуальная позиция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Clean Financial Workspace: профессиональная финансовая среда с понятной агентной логикой. Синий обозначает действия, бирюзовый — AI и инсайты, тёмно-синий — доверие и финансовую точность.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Inter" w:hAnsi="Inter"/>
          <w:color w:val="64748B"/>
          <w:sz w:val="16"/>
        </w:rPr>
        <w:t>Дата: 27 июля 2026</w:t>
      </w:r>
    </w:p>
    <w:p>
      <w:pPr>
        <w:pStyle w:val="Title"/>
        <w:pageBreakBefore/>
      </w:pPr>
      <w:r>
        <w:t>1. Резюме и ключевое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563EB"/>
                <w:sz w:val="20"/>
              </w:rPr>
              <w:t>Главная рекомендация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Не менять продуктовую логику MVP, а собрать её в единую дизайн-систему: сильный бренд, один главный CTA, понятный AI-ввод и последовательный progress-stepper вместо трёх равнозначных карточек.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16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Визуальное направление</w:t>
            </w:r>
          </w:p>
        </w:tc>
        <w:tc>
          <w:tcPr>
            <w:tcW w:type="dxa" w:w="74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Светлый premium fintech. Тёмный режим оставить дополнительной темой, а не основным образом продукта.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Основной цвет</w:t>
            </w:r>
          </w:p>
        </w:tc>
        <w:tc>
          <w:tcPr>
            <w:tcW w:type="dxa" w:w="74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Перевести primary-действия с оранжевого на Action Blue #2563EB. Бирюзовый #14B8A6 использовать только для AI и инсайтов.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Логотип</w:t>
            </w:r>
          </w:p>
        </w:tc>
        <w:tc>
          <w:tcPr>
            <w:tcW w:type="dxa" w:w="74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Принять DFM Grid Arrow: таблица/данные + структура + рост. Использовать «Data Fin Model» как публичное имя; data_fin_model оставить техническим slug.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Домашний экран</w:t>
            </w:r>
          </w:p>
        </w:tc>
        <w:tc>
          <w:tcPr>
            <w:tcW w:type="dxa" w:w="74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Сделать главным объектом AI-конструктор: описание бизнеса, загрузка файла, голос и примеры. Ниже — последовательный путь к готовой модели.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Состояния</w:t>
            </w:r>
          </w:p>
        </w:tc>
        <w:tc>
          <w:tcPr>
            <w:tcW w:type="dxa" w:w="74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Заменить «позже» на конкретные статусы: «Активный шаг», «Заблокировано до…», «Нужно проверить», «Готово».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Язык</w:t>
            </w:r>
          </w:p>
        </w:tc>
        <w:tc>
          <w:tcPr>
            <w:tcW w:type="dxa" w:w="74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Полностью унифицировать локаль. В русской версии убрать Financial model, New project, Projects, draft и служебные англоязычные пояснения.</w:t>
            </w:r>
          </w:p>
        </w:tc>
      </w:tr>
    </w:tbl>
    <w:p>
      <w:pPr>
        <w:spacing w:after="0"/>
      </w:pPr>
    </w:p>
    <w:p>
      <w:pPr>
        <w:pStyle w:val="Heading2"/>
      </w:pPr>
      <w:r>
        <w:t>Ожидаемый эффект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быстрее понимание первого действия новым пользователем;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более доверительный и профессиональный образ финансового продукта;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меньше визуального шума и неоднозначных CTA;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готовая основа для масштабирования в ML-таблицу, аналитику и дашборды;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быстрее разработка новых экранов за счёт повторно используемых компонентов.</w:t>
      </w:r>
    </w:p>
    <w:p>
      <w:pPr>
        <w:pStyle w:val="Title"/>
        <w:pageBreakBefore/>
      </w:pPr>
      <w:r>
        <w:t>2. Аудит текущего интерфейса</w:t>
      </w:r>
    </w:p>
    <w:p>
      <w:r>
        <w:t>Текущий экран уже содержит правильное ядро MVP: проект, навигацию, AI-ввод, три этапа формирования модели и экспорт. Основная проблема не в функциональности, а в визуальной иерархии, ясности статусов и целостности бренда.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742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42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color w:val="64748B"/>
          <w:sz w:val="15"/>
        </w:rPr>
        <w:t>Рисунок 1. Ключевые зоны улучшения текущего экрана.</w:t>
      </w:r>
    </w:p>
    <w:p>
      <w:pPr>
        <w:pStyle w:val="Heading2"/>
        <w:pageBreakBefore/>
      </w:pPr>
      <w:r>
        <w:t>Матрица проблем и решений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944"/>
        <w:gridCol w:w="3384"/>
        <w:gridCol w:w="3816"/>
      </w:tblGrid>
      <w:tr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Смешанная локализация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Пользователь видит русский и английский одновременно; продукт воспринимается как незавершённый.</w:t>
            </w:r>
          </w:p>
        </w:tc>
        <w:tc>
          <w:tcPr>
            <w:tcW w:type="dxa" w:w="38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Единая локаль для всех текстов, статусов, названий и кнопок.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Неочевидный основной сценарий</w:t>
            </w:r>
          </w:p>
        </w:tc>
        <w:tc>
          <w:tcPr>
            <w:tcW w:type="dxa" w:w="33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Заголовок, поле, иконки и стрелка не объясняют, что произойдёт после запуска.</w:t>
            </w:r>
          </w:p>
        </w:tc>
        <w:tc>
          <w:tcPr>
            <w:tcW w:type="dxa" w:w="38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Кнопка с текстом «Сформировать модель» или явная стрелка с tooltip; примеры сценариев.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Слабая последовательность шагов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Три карточки выглядят равнозначными, хотя второй и третий этапы зависят от первого.</w:t>
            </w:r>
          </w:p>
        </w:tc>
        <w:tc>
          <w:tcPr>
            <w:tcW w:type="dxa" w:w="38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Stepper с линией прогресса, блокировкой и условиями открытия.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Нечёткий бренд</w:t>
            </w:r>
          </w:p>
        </w:tc>
        <w:tc>
          <w:tcPr>
            <w:tcW w:type="dxa" w:w="33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data_fin_model, оранжевая пиктограмма и Financial model не образуют единого бренда.</w:t>
            </w:r>
          </w:p>
        </w:tc>
        <w:tc>
          <w:tcPr>
            <w:tcW w:type="dxa" w:w="38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Единый logo lockup, публичное имя Data Fin Model, технический slug скрыть.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CTA-конфликт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Экспорт и оранжевые кнопки конкурируют с созданием модели.</w:t>
            </w:r>
          </w:p>
        </w:tc>
        <w:tc>
          <w:tcPr>
            <w:tcW w:type="dxa" w:w="38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Один primary CTA; экспорт — secondary/dark action.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Избыточная пустота</w:t>
            </w:r>
          </w:p>
        </w:tc>
        <w:tc>
          <w:tcPr>
            <w:tcW w:type="dxa" w:w="33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После карточек экран ничего не объясняет и не показывает будущий результат.</w:t>
            </w:r>
          </w:p>
        </w:tc>
        <w:tc>
          <w:tcPr>
            <w:tcW w:type="dxa" w:w="38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Добавить примеры, ожидаемые выходы, недавнюю активность или preview книги.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P2</w:t>
            </w:r>
          </w:p>
        </w:tc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Слабые статусы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«позже» не сообщает причину и условия.</w:t>
            </w:r>
          </w:p>
        </w:tc>
        <w:tc>
          <w:tcPr>
            <w:tcW w:type="dxa" w:w="38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Использовать статусы и helper-text с конкретным условием.</w:t>
            </w:r>
          </w:p>
        </w:tc>
      </w:tr>
      <w:tr>
        <w:trPr>
          <w:cantSplit/>
        </w:trPr>
        <w:tc>
          <w:tcPr>
            <w:tcW w:type="dxa" w:w="8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P2</w:t>
            </w:r>
          </w:p>
        </w:tc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Мелкий и низкоконтрастный текст</w:t>
            </w:r>
          </w:p>
        </w:tc>
        <w:tc>
          <w:tcPr>
            <w:tcW w:type="dxa" w:w="338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Служебные подписи теряются; часть текста меньше комфортного размера.</w:t>
            </w:r>
          </w:p>
        </w:tc>
        <w:tc>
          <w:tcPr>
            <w:tcW w:type="dxa" w:w="381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Минимум 12 px для метаданных, 14 px для основного текста, контраст WCAG AA.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P2</w:t>
            </w:r>
          </w:p>
        </w:tc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Сайдбар перегружен служебным текстом</w:t>
            </w:r>
          </w:p>
        </w:tc>
        <w:tc>
          <w:tcPr>
            <w:tcW w:type="dxa" w:w="338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Roadmap-пояснение занимает место, но не помогает текущему действию.</w:t>
            </w:r>
          </w:p>
        </w:tc>
        <w:tc>
          <w:tcPr>
            <w:tcW w:type="dxa" w:w="381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Перенести в help/tooltip; sidebar оставить для навигации и проектов.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3. Бренд и логотип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563EB"/>
                <w:sz w:val="20"/>
              </w:rPr>
              <w:t>Рекомендуемое имя в интерфейсе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Data Fin Model — на лендинге, в шапке продукта, документах и экспортах. Сокращение DFM — только для компактного режима, favicon и внутренних обозначений. Запись data_fin_model не показывать пользователю.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ncep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color w:val="64748B"/>
          <w:sz w:val="15"/>
        </w:rPr>
        <w:t>Рисунок 2. Три направления логотипа. Вариант A рекомендуется к дальнейшей разработке.</w:t>
      </w:r>
    </w:p>
    <w:p>
      <w:pPr>
        <w:pStyle w:val="Heading2"/>
      </w:pPr>
      <w:r>
        <w:t>Почему вариант A сильнее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сразу связывает бренд с табличными данными и финансовым результатом;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работает как самостоятельная иконка приложения;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сохраняет читаемость в 24–32 px;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не выглядит как крипто-, банковский или бухгалтерский клише;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может эволюционировать вместе с продуктом: таблицы → модели → аналитика → дашборды.</w:t>
      </w:r>
    </w:p>
    <w:p>
      <w:pPr>
        <w:pStyle w:val="Heading2"/>
        <w:pageBreakBefore/>
      </w:pPr>
      <w:r>
        <w:t>Правила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Основной lockup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Знак слева, Data Fin Model справа. Подпись AI financial workspace использовать только в marketing и onboarding.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Минимальный размер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Знак: 24 px digital / 8 mm print. Полный lockup: 120 px digital.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Охранное поле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Не меньше ширины одного квадратного элемента знака со всех сторон.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Фон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Белый или Deep Navy. На сложных изображениях использовать одноцветную версию.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Цвет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Основные квадраты: Deep Navy + Action Blue; тренд/AI-линия: AI Teal.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Запрещено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Не растягивать, не менять порядок цветов, не добавлять тени, не помещать в оранжевую плашку, не использовать data_fin_model как wordmark.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4. Визуальная система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toke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color w:val="64748B"/>
          <w:sz w:val="15"/>
        </w:rPr>
        <w:t>Рисунок 3. Рекомендуемые цвета, типографика и геометрия компонентов.</w:t>
      </w:r>
    </w:p>
    <w:p>
      <w:pPr>
        <w:pStyle w:val="Heading2"/>
        <w:pageBreakBefore/>
      </w:pPr>
      <w:r>
        <w:t>Цветовая роль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Токен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#0F172A Deep Navy</w:t>
            </w:r>
          </w:p>
        </w:tc>
        <w:tc>
          <w:tcPr>
            <w:tcW w:type="dxa" w:w="71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Заголовки, тёмные панели, экспорт, фокус на доверии.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#2563EB Action Blue</w:t>
            </w:r>
          </w:p>
        </w:tc>
        <w:tc>
          <w:tcPr>
            <w:tcW w:type="dxa" w:w="71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Primary CTA, активный таб, выбранный проект, progress.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#14B8A6 AI Teal</w:t>
            </w:r>
          </w:p>
        </w:tc>
        <w:tc>
          <w:tcPr>
            <w:tcW w:type="dxa" w:w="71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AI-конструктор, инсайты, автозаполнение, подтверждённые агентные действия.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#F6F8FC Canvas</w:t>
            </w:r>
          </w:p>
        </w:tc>
        <w:tc>
          <w:tcPr>
            <w:tcW w:type="dxa" w:w="71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Фон приложения. Создаёт отличие от белых карточек без серого «офисного» ощущения.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#E2E8F0 Border</w:t>
            </w:r>
          </w:p>
        </w:tc>
        <w:tc>
          <w:tcPr>
            <w:tcW w:type="dxa" w:w="71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Границы, разделители, неактивные progress-линии.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#64748B Text Muted</w:t>
            </w:r>
          </w:p>
        </w:tc>
        <w:tc>
          <w:tcPr>
            <w:tcW w:type="dxa" w:w="71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Подписи и метаданные. Не использовать для критичных инструкций.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#16A34A Success</w:t>
            </w:r>
          </w:p>
        </w:tc>
        <w:tc>
          <w:tcPr>
            <w:tcW w:type="dxa" w:w="712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Только успешные статусы и подтверждение.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#F59E0B Warning</w:t>
            </w:r>
          </w:p>
        </w:tc>
        <w:tc>
          <w:tcPr>
            <w:tcW w:type="dxa" w:w="712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Черновик, предупреждение, необходимость проверки. Не primary CTA.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F59E0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F59E0B"/>
                <w:sz w:val="20"/>
              </w:rPr>
              <w:t>Принцип цвета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На одном экране должен быть один главный синий CTA. Бирюзовый сообщает «это сделал или предложил AI». Оранжевый означает «внимание/черновик», а не «продолжить».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5. Рекомендуемый редизайн главного экрана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7098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ed_re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9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color w:val="64748B"/>
          <w:sz w:val="15"/>
        </w:rPr>
        <w:t>Рисунок 4. Концептуальный редизайн: AI-конструктор, понятные состояния и последовательный путь к книге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CFE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4B8A6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4B8A6"/>
                <w:sz w:val="20"/>
              </w:rPr>
              <w:t>Важно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Макет показывает рекомендуемую композицию и визуальную иерархию. Это не финальный pixel-perfect UI: после принятия направления следует собрать интерактивный Figma-прототип и проверить на 5–7 пользовательских сценариях.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Рекомендации по зонам экрана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1. Сайдбар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Ширина 232–248 px. Сверху logo lockup и «Новый проект», затем поиск, навигация и проекты. Убрать roadmap-текст. Активный проект показывать отдельной карточкой со статусом и временем обновления.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2. Верхняя панель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Название проекта, статус «Черновик», локаль, тема и экспорт. Экспорт визуально вторичен по отношению к созданию модели.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3. Табы проекта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Активный таб — мягкая синяя плашка. Не использовать оранжевый underline. Сохранять tabs sticky при прокрутке.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4. AI-конструктор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Большой вопрос, пример результата, поле ввода, upload, voice и явный запуск. Добавить chips с типовыми бизнесами.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5. Быстрый старт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Правый контекстный блок объясняет, какие данные нужны. На узких экранах перемещается под AI-конструктор.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6. Метрики прогресса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Профиль, допущения и листы показываются как компактные counters, а не как абстрактные этапы.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7. Путь к модели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Горизонтальный stepper: активный этап, заблокированные этапы и конкретные условия открытия.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8. Будущий результат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Показывать, что появится после запуска: структура книги, KPI, прогноз, контрольные допущения.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6. Ключевые компоненты интерфейса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651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_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color w:val="64748B"/>
          <w:sz w:val="15"/>
        </w:rPr>
        <w:t>Рисунок 5. Рекомендуемые паттерны AI-ввода, карточек шагов, действий и статусов.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AI Prompt Composer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Заголовок + пояснение + поле + upload + voice + явный запуск. Поддерживает drag-and-drop, но не полагается только на него.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Project Step Card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Название, статус, объём работы, условие открытия, один следующий CTA. Активный шаг выделен обводкой и мягким фоном.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Status Badge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Набор строго фиксирован: Готово, В работе, Нужно проверить, Заблокировано, Ошибка, Черновик.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Progress Counter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Числовой прогресс по ключевым сущностям: 5/8 вопросов, 12/18 допущений, 10/15 листов.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AI Insight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Бирюзовый компонент с конкретным выводом и действием: «Подтвердить», «Исправить», «Показать расчёт».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Primary Button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Один на визуальный блок или экран. Текст должен описывать результат: «Сформировать модель», не просто «Далее».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Empty State</w:t>
            </w:r>
          </w:p>
        </w:tc>
        <w:tc>
          <w:tcPr>
            <w:tcW w:type="dxa" w:w="77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Показывает пример результата, минимальные входные данные и быстрые сценарии. Не оставлять пустое полотно.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Toast / Activity</w:t>
            </w:r>
          </w:p>
        </w:tc>
        <w:tc>
          <w:tcPr>
            <w:tcW w:type="dxa" w:w="77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Сообщает, что агент делает сейчас: анализ документа, построение структуры, проверка формул, экспорт.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7. Рекомендованный текст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600"/>
        <w:gridCol w:w="3744"/>
      </w:tblGrid>
      <w:tr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Сейчас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Рекомендуется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Почему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Что будем моделировать?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Создайте финансовую модель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Заголовок экрана должен обещать результат.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Опишите бизнес или перетащите сюда банковскую выписку…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Опишите бизнес, загрузите файл или выберите пример.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Сначала действие, затем альтернативы.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→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Сформировать модель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Кнопка сообщает результат клика.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Путь к модели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Путь к готовой модели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Уточняет конечный результат.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1 · Профиль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Профиль бизнеса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Понятнее без технической нумерации в названии карточки.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следующий шаг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Активный шаг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Статус, а не комментарий.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позже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Заблокировано до заполнения профиля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Причина и условие открытия.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Пройти опросник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Заполнить профиль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Короче и ближе к результату.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 допущениям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Проверить допущения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Действие, а не направление.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Скачать книгу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Экспортировать XLSX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Формат и действие ясны.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New project</w:t>
            </w:r>
          </w:p>
        </w:tc>
        <w:tc>
          <w:tcPr>
            <w:tcW w:type="dxa" w:w="360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Новый проект</w:t>
            </w:r>
          </w:p>
        </w:tc>
        <w:tc>
          <w:tcPr>
            <w:tcW w:type="dxa" w:w="37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Единая локаль.</w:t>
            </w:r>
          </w:p>
        </w:tc>
      </w:tr>
      <w:tr>
        <w:trPr>
          <w:cantSplit/>
        </w:trPr>
        <w:tc>
          <w:tcPr>
            <w:tcW w:type="dxa" w:w="26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Financial model</w:t>
            </w:r>
          </w:p>
        </w:tc>
        <w:tc>
          <w:tcPr>
            <w:tcW w:type="dxa" w:w="360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Финансовая модель</w:t>
            </w:r>
          </w:p>
        </w:tc>
        <w:tc>
          <w:tcPr>
            <w:tcW w:type="dxa" w:w="37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В русской локали все системные названия переводятся.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563EB"/>
                <w:sz w:val="20"/>
              </w:rPr>
              <w:t>Тон интерфейса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Профессиональный, спокойный и конкретный. Не использовать маркетинговые гиперболы внутри рабочего приложения. AI должен объяснять действие и допущения, а не выглядеть «магией».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8. Информационная архитектура и развитие продукта</w:t>
      </w:r>
    </w:p>
    <w:p>
      <w:r>
        <w:t>Текущие вкладки подходят для финмодели. При развитии в универсальную ML-таблицу рекомендуется отделить уровень проекта от рабочих представлений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Разделы / действия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Уровень workspace</w:t>
            </w:r>
          </w:p>
        </w:tc>
        <w:tc>
          <w:tcPr>
            <w:tcW w:type="dxa" w:w="76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Проекты · Шаблоны · Источники данных · Команда · Настройки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Уровень проекта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Обзор · Данные · Модель · Допущения · Дашборд · Документы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Уровень рабочего объекта</w:t>
            </w:r>
          </w:p>
        </w:tc>
        <w:tc>
          <w:tcPr>
            <w:tcW w:type="dxa" w:w="76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Таблица/лист · Формулы · История изменений · Комментарии · AI-операции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Глобальные действия</w:t>
            </w:r>
          </w:p>
        </w:tc>
        <w:tc>
          <w:tcPr>
            <w:tcW w:type="dxa" w:w="76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Новый проект · Подключить источник · Импорт · Экспорт · Поделиться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Контекстные действия</w:t>
            </w:r>
          </w:p>
        </w:tc>
        <w:tc>
          <w:tcPr>
            <w:tcW w:type="dxa" w:w="76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Очистить данные · Объединить · Рассчитать · Построить график · Проверить допущения</w:t>
            </w:r>
          </w:p>
        </w:tc>
      </w:tr>
    </w:tbl>
    <w:p>
      <w:pPr>
        <w:spacing w:after="0"/>
      </w:pPr>
    </w:p>
    <w:p>
      <w:pPr>
        <w:pStyle w:val="Heading2"/>
      </w:pPr>
      <w:r>
        <w:t>Принцип масштабирования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сайдбар отвечает за пространство и проекты;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верхние tabs — за представления текущего проекта;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AI-композер доступен контекстно и понимает активную вкладку;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вся агентная работа отображается в журнале операций;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каждое изменение можно проверить, отменить и повторить.</w:t>
      </w:r>
    </w:p>
    <w:p>
      <w:pPr>
        <w:pStyle w:val="Title"/>
        <w:pageBreakBefore/>
      </w:pPr>
      <w:r>
        <w:t>9. Адаптивность, доступность и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Ширина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≥ 1280 px</w:t>
            </w:r>
          </w:p>
        </w:tc>
        <w:tc>
          <w:tcPr>
            <w:tcW w:type="dxa" w:w="80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Полный sidebar, prompt + подсказка в две колонки, горизонтальный stepper.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1024–1279 px</w:t>
            </w:r>
          </w:p>
        </w:tc>
        <w:tc>
          <w:tcPr>
            <w:tcW w:type="dxa" w:w="80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Sidebar 216 px; подсказка переносится под prompt или становится компактной карточкой.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768–1023 px</w:t>
            </w:r>
          </w:p>
        </w:tc>
        <w:tc>
          <w:tcPr>
            <w:tcW w:type="dxa" w:w="806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Sidebar сворачивается в rail; tabs прокручиваются; этапы переходят в вертикальный stepper.</w:t>
            </w:r>
          </w:p>
        </w:tc>
      </w:tr>
      <w:tr>
        <w:trPr>
          <w:cantSplit/>
        </w:trPr>
        <w:tc>
          <w:tcPr>
            <w:tcW w:type="dxa" w:w="194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&lt; 768 px</w:t>
            </w:r>
          </w:p>
        </w:tc>
        <w:tc>
          <w:tcPr>
            <w:tcW w:type="dxa" w:w="8064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Нижняя навигация/меню; один столбец; CTA растягиваются на ширину; таблицы открываются в отдельном полноэкранном режиме.</w:t>
            </w:r>
          </w:p>
        </w:tc>
      </w:tr>
    </w:tbl>
    <w:p>
      <w:pPr>
        <w:spacing w:after="0"/>
      </w:pPr>
    </w:p>
    <w:p>
      <w:pPr>
        <w:pStyle w:val="Heading2"/>
      </w:pPr>
      <w:r>
        <w:t>Минимальные требования доступности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контраст текста и контролов не ниже WCAG AA;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видимый keyboard focus на всех интерактивных элементах;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иконки upload, voice, theme и export имеют tooltip и aria-label;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кликабельная зона не меньше 40×40 px на desktop и 44×44 px на mobile;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статусы кодируются не только цветом, но и текстом/иконкой;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ошибки объясняют способ исправления, а не только факт ошибки;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анимации agentic-процесса можно отключить через prefers-reduced-motion.</w:t>
      </w:r>
    </w:p>
    <w:p>
      <w:pPr>
        <w:pStyle w:val="Title"/>
        <w:pageBreakBefore/>
      </w:pPr>
      <w:r>
        <w:t>10. План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656"/>
        <w:gridCol w:w="6120"/>
      </w:tblGrid>
      <w:tr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Этап 1 — визуальная база</w:t>
            </w:r>
          </w:p>
        </w:tc>
        <w:tc>
          <w:tcPr>
            <w:tcW w:type="dxa" w:w="16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1–2 рабочих дня</w:t>
            </w:r>
          </w:p>
        </w:tc>
        <w:tc>
          <w:tcPr>
            <w:tcW w:type="dxa" w:w="61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Логотип A; дизайн-токены; Inter; перевод UI; primary/secondary кнопки; header/sidebar/tabs; статусы.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Этап 2 — главный сценарий</w:t>
            </w:r>
          </w:p>
        </w:tc>
        <w:tc>
          <w:tcPr>
            <w:tcW w:type="dxa" w:w="16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3–5 рабочих дней</w:t>
            </w:r>
          </w:p>
        </w:tc>
        <w:tc>
          <w:tcPr>
            <w:tcW w:type="dxa" w:w="61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AI Prompt Composer; chips примеров; stepper; empty states; progress counters; activity/toasts; responsive desktop.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Этап 3 — продуктовая система</w:t>
            </w:r>
          </w:p>
        </w:tc>
        <w:tc>
          <w:tcPr>
            <w:tcW w:type="dxa" w:w="1656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1–2 недели</w:t>
            </w:r>
          </w:p>
        </w:tc>
        <w:tc>
          <w:tcPr>
            <w:tcW w:type="dxa" w:w="61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Компонентная библиотека; dashboard preview; журнал операций; мобильная адаптация; accessibility QA; Figma variables.</w:t>
            </w:r>
          </w:p>
        </w:tc>
      </w:tr>
      <w:tr>
        <w:trPr>
          <w:cantSplit/>
        </w:trPr>
        <w:tc>
          <w:tcPr>
            <w:tcW w:type="dxa" w:w="2232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Этап 4 — проверка</w:t>
            </w:r>
          </w:p>
        </w:tc>
        <w:tc>
          <w:tcPr>
            <w:tcW w:type="dxa" w:w="1656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2–3 дня</w:t>
            </w:r>
          </w:p>
        </w:tc>
        <w:tc>
          <w:tcPr>
            <w:tcW w:type="dxa" w:w="61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5–7 usability-сессий; проверка 10 типовых задач; корректировка текстов и визуальной иерархии.</w:t>
            </w:r>
          </w:p>
        </w:tc>
      </w:tr>
    </w:tbl>
    <w:p>
      <w:pPr>
        <w:spacing w:after="0"/>
      </w:pPr>
    </w:p>
    <w:p>
      <w:pPr>
        <w:pStyle w:val="Heading2"/>
      </w:pPr>
      <w:r>
        <w:t>Приоритетный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568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Задача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85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Единая локаль и публичное имя бренда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85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Primary Blue вместо оранжевого CTA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85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AI-композер с явной кнопкой запуска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P0</w:t>
            </w:r>
          </w:p>
        </w:tc>
        <w:tc>
          <w:tcPr>
            <w:tcW w:type="dxa" w:w="85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Stepper и конкретные статусы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85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Новый sidebar и карточка проекта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85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Примеры/empty state в свободной зоне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P1</w:t>
            </w:r>
          </w:p>
        </w:tc>
        <w:tc>
          <w:tcPr>
            <w:tcW w:type="dxa" w:w="85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Progress counters и activity feedback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P2</w:t>
            </w:r>
          </w:p>
        </w:tc>
        <w:tc>
          <w:tcPr>
            <w:tcW w:type="dxa" w:w="856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Темная тема и dashboard preview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P2</w:t>
            </w:r>
          </w:p>
        </w:tc>
        <w:tc>
          <w:tcPr>
            <w:tcW w:type="dxa" w:w="856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Полная mobile-адаптация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11. Критерии приёмки редизайна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51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Понимание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Новый пользователь за 5–10 секунд понимает, что нужно описать бизнес или загрузить файл.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Первое действие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На экране визуально доминирует только один primary CTA.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Последовательность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Пользователь видит активный шаг, следующие этапы и условия их открытия.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Локализация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В выбранной локали нет смешения языков, кроме общепринятых форматов XLSX/CSV/API.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Состояния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Каждое действие имеет loading, success, warning и error feedback.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Доступность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Все ключевые сценарии доступны с клавиатуры, контраст соответствует AA.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Адаптивность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Макет работает на 1440, 1280, 1024, 768 и 390 px без потери основного сценария.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Бренд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Логотип читается в 24 px; data_fin_model не показывается как публичное имя.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Скорость</w:t>
            </w:r>
          </w:p>
        </w:tc>
        <w:tc>
          <w:tcPr>
            <w:tcW w:type="dxa" w:w="7920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Основной экран не требует тяжёлых иллюстраций; Lighthouse performance не ухудшается из-за редизайна.</w:t>
            </w:r>
          </w:p>
        </w:tc>
      </w:tr>
      <w:tr>
        <w:trPr>
          <w:cantSplit/>
        </w:trPr>
        <w:tc>
          <w:tcPr>
            <w:tcW w:type="dxa" w:w="2088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Масштабирование</w:t>
            </w:r>
          </w:p>
        </w:tc>
        <w:tc>
          <w:tcPr>
            <w:tcW w:type="dxa" w:w="7920"/>
            <w:shd w:fill="F8FAFC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E2E8F0"/>
            </w:tcBorders>
            <w:vAlign w:val="center"/>
          </w:tcPr>
          <w:p>
            <w:r>
              <w:rPr>
                <w:rFonts w:ascii="Inter" w:hAnsi="Inter"/>
                <w:color w:val="0F172A"/>
                <w:sz w:val="16"/>
              </w:rPr>
              <w:t>Компоненты применимы к будущим экранам данных, модели, анализа и дашборда.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t>12. Приложение: стартовые design tokens для фронтенда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2563EB"/>
                <w:sz w:val="20"/>
              </w:rPr>
              <w:t>Рекомендация для реализации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Завести переменные в CSS/Tailwind и не использовать произвольные цвета/радиусы внутри компонентов. Все значения ниже являются стартовой системой и уточняются после Figma-прототипа.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0F172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/>
                <w:color w:val="E2E8F0"/>
                <w:sz w:val="15"/>
              </w:rPr>
              <w:br/>
              <w:t>:root {</w:t>
              <w:br/>
              <w:t xml:space="preserve">  --color-navy: #0F172A;</w:t>
              <w:br/>
              <w:t xml:space="preserve">  --color-action: #2563EB;</w:t>
              <w:br/>
              <w:t xml:space="preserve">  --color-ai: #14B8A6;</w:t>
              <w:br/>
              <w:t xml:space="preserve">  --color-canvas: #F6F8FC;</w:t>
              <w:br/>
              <w:t xml:space="preserve">  --color-surface: #FFFFFF;</w:t>
              <w:br/>
              <w:t xml:space="preserve">  --color-border: #E2E8F0;</w:t>
              <w:br/>
              <w:t xml:space="preserve">  --color-muted: #64748B;</w:t>
              <w:br/>
              <w:t xml:space="preserve">  --color-success: #16A34A;</w:t>
              <w:br/>
              <w:t xml:space="preserve">  --color-warning: #F59E0B;</w:t>
              <w:br/>
              <w:t xml:space="preserve">  --color-danger: #DC2626;</w:t>
              <w:br/>
              <w:br/>
              <w:t xml:space="preserve">  --radius-control: 10px;</w:t>
              <w:br/>
              <w:t xml:space="preserve">  --radius-card: 16px;</w:t>
              <w:br/>
              <w:t xml:space="preserve">  --radius-hero: 24px;</w:t>
              <w:br/>
              <w:br/>
              <w:t xml:space="preserve">  --space-1: 4px;</w:t>
              <w:br/>
              <w:t xml:space="preserve">  --space-2: 8px;</w:t>
              <w:br/>
              <w:t xml:space="preserve">  --space-3: 12px;</w:t>
              <w:br/>
              <w:t xml:space="preserve">  --space-4: 16px;</w:t>
              <w:br/>
              <w:t xml:space="preserve">  --space-6: 24px;</w:t>
              <w:br/>
              <w:t xml:space="preserve">  --space-8: 32px;</w:t>
              <w:br/>
              <w:br/>
              <w:t xml:space="preserve">  --shadow-float: 0 12px 32px rgba(15, 23, 42, .08);</w:t>
              <w:br/>
              <w:t xml:space="preserve">  --focus-ring: 0 0 0 3px rgba(37, 99, 235, .22);</w:t>
              <w:br/>
              <w:t>}</w:t>
              <w:br/>
            </w:r>
          </w:p>
        </w:tc>
      </w:tr>
    </w:tbl>
    <w:p>
      <w:pPr>
        <w:pStyle w:val="Title"/>
        <w:pageBreakBefore/>
      </w:pPr>
      <w:r>
        <w:t>Итоговая рекомендация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368"/>
            <w:shd w:fill="ECFEF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/>
              <w:left w:val="single" w:sz="18" w:color="14B8A6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14B8A6"/>
                <w:sz w:val="20"/>
              </w:rPr>
              <w:t>Выбранное направление</w:t>
            </w:r>
          </w:p>
          <w:p>
            <w:pPr>
              <w:spacing w:after="0"/>
            </w:pPr>
            <w:r>
              <w:rPr>
                <w:rFonts w:ascii="Inter" w:hAnsi="Inter"/>
                <w:color w:val="0F172A"/>
                <w:sz w:val="18"/>
              </w:rPr>
              <w:t>Data Fin Model следует развивать как светлый профессиональный AI-workspace для финансовых данных. В качестве основы принять логотип DFM Grid Arrow, палитру Deep Navy / Action Blue / AI Teal и главный экран с AI-композером и последовательным stepper.</w:t>
            </w:r>
          </w:p>
        </w:tc>
      </w:tr>
    </w:tbl>
    <w:p>
      <w:pPr>
        <w:spacing w:after="0"/>
      </w:pPr>
    </w:p>
    <w:p>
      <w:r>
        <w:t>Первый практический результат — не полный редизайн всего приложения, а один эталонный экран и набор базовых компонентов. После его утверждения остальные страницы собираются из тех же токенов и паттернов.</w:t>
      </w:r>
    </w:p>
    <w:p>
      <w:pPr>
        <w:spacing w:after="280"/>
      </w:pP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утвердить направление логотипа A;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принять палитру и типографику;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собрать главный экран в Figma;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перенести компоненты в Storybook или внутренний UI-kit;</w:t>
      </w:r>
    </w:p>
    <w:p>
      <w:pPr>
        <w:pStyle w:val="ListBullet"/>
        <w:spacing w:after="40"/>
      </w:pPr>
      <w:r>
        <w:rPr>
          <w:rFonts w:ascii="Inter" w:hAnsi="Inter"/>
          <w:color w:val="0F172A"/>
          <w:sz w:val="18"/>
        </w:rPr>
        <w:t>проверить 10 типовых задач MVP на новом интерфейсе.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4748B"/>
        <w:sz w:val="14"/>
      </w:rPr>
      <w:t xml:space="preserve">Data Fin Model  •  27 июля 2026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Inter" w:hAnsi="Inter"/>
              <w:b/>
              <w:color w:val="64748B"/>
              <w:sz w:val="14"/>
            </w:rPr>
            <w:t>DATA FIN MODEL</w:t>
          </w:r>
        </w:p>
      </w:tc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Inter" w:hAnsi="Inter"/>
              <w:b/>
              <w:color w:val="64748B"/>
              <w:sz w:val="14"/>
            </w:rPr>
            <w:t>UX/UI &amp; Brand Recommendations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Inter" w:hAnsi="Inter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Inter" w:hAnsi="Inter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2563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Inter" w:hAnsi="Inter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/>
    </w:pPr>
    <w:rPr>
      <w:rFonts w:ascii="Inter" w:hAnsi="Inter"/>
      <w:b w:val="0"/>
      <w:i/>
      <w:iCs/>
      <w:color w:val="0F172A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Inter" w:hAnsi="Inter"/>
      <w:b w:val="0"/>
      <w:color w:val="64748B"/>
      <w:sz w:val="16"/>
    </w:rPr>
  </w:style>
  <w:style w:type="paragraph" w:customStyle="1" w:styleId="Label">
    <w:name w:val="Label"/>
    <w:pPr>
      <w:spacing w:after="80"/>
    </w:pPr>
    <w:rPr>
      <w:rFonts w:ascii="Inter" w:hAnsi="Inter"/>
      <w:b/>
      <w:color w:val="2563E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Fin Model — рекомендации по дизайну</dc:title>
  <dc:subject>UX/UI, бренд, логотип и план редизайна</dc:subject>
  <dc:creator>OpenAI</dc:creator>
  <cp:keywords>Data Fin Model, UX, UI, logo, design system, fintech,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