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AA" w:rsidRPr="00A374AA" w:rsidRDefault="00A374AA" w:rsidP="00A374AA">
      <w:pPr>
        <w:shd w:val="clear" w:color="auto" w:fill="FFFFFF"/>
        <w:spacing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  <w:lang w:val="ru-RU"/>
        </w:rPr>
      </w:pPr>
      <w:r w:rsidRPr="00A374AA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  <w:lang w:val="ru-RU"/>
        </w:rPr>
        <w:t>Тест-кейс (</w:t>
      </w:r>
      <w:r w:rsidRPr="00A374AA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Test</w:t>
      </w:r>
      <w:r w:rsidRPr="00A374AA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case</w:t>
      </w:r>
      <w:r w:rsidRPr="00A374AA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  <w:lang w:val="ru-RU"/>
        </w:rPr>
        <w:t>)</w:t>
      </w:r>
    </w:p>
    <w:p w:rsidR="00A374AA" w:rsidRPr="00A374AA" w:rsidRDefault="00A374AA" w:rsidP="00A374AA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>Тестовый сценарий (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case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>): Набор входных значений, предусловий выполнения, ожидаемых результатов и постусловий выполнения, разработанный для определенной цели или тестового условия, таких как выполнения определенного пути программы или же для проверки соответствия определенному требованию. (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IEEE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 xml:space="preserve"> 610)</w:t>
      </w:r>
    </w:p>
    <w:p w:rsidR="00A374AA" w:rsidRPr="00A374AA" w:rsidRDefault="00A374AA" w:rsidP="00A374AA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>Тестовый сценарий высокого уровня (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high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level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case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>): Тестовый сценарий без конкретных (уровня реализации) значений входных данных и ожидаемых результатов. Использует логические операторы, а экземпляры реальных значений еще не определены и/или доступны. (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ISTQB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>)</w:t>
      </w:r>
    </w:p>
    <w:p w:rsidR="00A374AA" w:rsidRPr="00A374AA" w:rsidRDefault="00A374AA" w:rsidP="00A374AA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>Тестовый сценарий низкого уровня (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low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level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case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>): Тестовый сценарий с конкретными (уровня реализации) значениями входных данных и ожидаемых результатов. Логические операторы из тестовых сценариев высокого уровня заменяются реальными значениями, которые соответствуют целям этих логических операторов. (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</w:rPr>
        <w:t>ISTQB</w:t>
      </w:r>
      <w:r w:rsidRPr="00A374AA">
        <w:rPr>
          <w:rFonts w:ascii="Segoe UI" w:eastAsia="Times New Roman" w:hAnsi="Segoe UI" w:cs="Segoe UI"/>
          <w:i/>
          <w:iCs/>
          <w:color w:val="3B454E"/>
          <w:sz w:val="24"/>
          <w:szCs w:val="24"/>
          <w:lang w:val="ru-RU"/>
        </w:rPr>
        <w:t>)</w:t>
      </w:r>
    </w:p>
    <w:p w:rsidR="00A374AA" w:rsidRPr="00A374AA" w:rsidRDefault="00A374AA" w:rsidP="00A374AA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case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(тест-кейс, тестовый пример/случай) - это артефакт, описывающий совокупность шагов, конкретных условий и параметров, необходимых для проверки реализации тестируемой функции или ее части. Более строго - формализованное описание одной показательной проверки на соответствие требованиям прямым или косвенным.</w:t>
      </w:r>
    </w:p>
    <w:p w:rsidR="00A374AA" w:rsidRPr="00A374AA" w:rsidRDefault="00A374AA" w:rsidP="00A374AA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proofErr w:type="spellStart"/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Содержание</w:t>
      </w:r>
      <w:proofErr w:type="spellEnd"/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 xml:space="preserve"> </w:t>
      </w:r>
      <w:proofErr w:type="spellStart"/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тест-кейса</w:t>
      </w:r>
      <w:proofErr w:type="spellEnd"/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: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Идентификатор набора тестов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Suite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ID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Идентификатор набора тестов, в которых входит этот кейс;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Идентификатор тестового кейса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Case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ID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Идентификатор самого кейса;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Заголовок кейса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Case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Summary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Краткое и емкое название проводимой проверки;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Связанное требование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Related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Requirement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Идентификатор требования, к которому относится / отслеживается данный тестовый пример;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Предварительные условия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Prerequisites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Любые предпосылки или предварительные условия, которые должны быть выполнены перед выполнением теста;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Шаги выполнения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Script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/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Procedure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Шаги выполнения теста;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Тестовые данные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Data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Тестовые данные или ссылки на тестовые данные, которые должны использоваться при проведении теста;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lastRenderedPageBreak/>
        <w:t>Ожидаемый результат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Expected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Result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результат, который мы ожидаем получить после выполнения шагов теста;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Статус пройден или не пройден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Status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Другие статусы могут быть «Не выполнено», если тестирование не проводится, и «Заблокировано», если тестирование заблокировано;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Заметки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Remarks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Любые комментарии к тесту или выполнению теста;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Создано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Created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By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Имя автора тестового примера;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Дата создания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Date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of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Creation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Дата создания тестового примера (опционально модификации);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Выполнено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Executed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By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Имя человека, выполнившего тест;</w:t>
      </w:r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Дата выполнения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Date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of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Execution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Дата выполнения теста;</w:t>
      </w:r>
      <w:bookmarkStart w:id="0" w:name="_GoBack"/>
      <w:bookmarkEnd w:id="0"/>
    </w:p>
    <w:p w:rsidR="00A374AA" w:rsidRPr="00A374AA" w:rsidRDefault="00A374AA" w:rsidP="00A374A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Тестовое окружение (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Environment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): оборудование / программное обеспечение / сеть, в которых выполнялся тест, т.е. все необходимые сведения об окружении, чтобы можно было воспроизвести полученный результат.</w:t>
      </w:r>
    </w:p>
    <w:p w:rsidR="00A374AA" w:rsidRPr="00A374AA" w:rsidRDefault="00A374AA" w:rsidP="00A374AA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В иностранной литературе часто делят кейсы на две категории:</w:t>
      </w:r>
    </w:p>
    <w:p w:rsidR="00A374AA" w:rsidRPr="00A374AA" w:rsidRDefault="00A374AA" w:rsidP="00A374AA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>Высокоуровневый тест-кейс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(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high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level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case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или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logical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case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) - тест-кейс без конкретных входных данных и ожидаемых результатов. Как правило, ограничивается общими идеями и операциями, схож по своей сути с подробно описанным пунктом чек-листа. Достаточно часто встречается в интеграционном тестировании и системном тестировании, а также на уровне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smoke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. Может служить отправной точкой для проведения исследовательского тестирования или для создания низкоуровневых тест-кейсов.</w:t>
      </w:r>
    </w:p>
    <w:p w:rsidR="00A374AA" w:rsidRPr="00A374AA" w:rsidRDefault="00A374AA" w:rsidP="00A374AA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line="360" w:lineRule="atLeast"/>
        <w:ind w:left="0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>Низкоуровневый тест-кейс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(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low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level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case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) - тест-кейс с конкретными входными данными и ожидаемыми результатами. Представляет собой «полностью готовый к выполнению» тест-кейс и вообще является наиболее классическим видом тест-кейсов. Начинающих тестировщиков чаще всего учат писать именно такие тесты, т.к. прописать все данные подробно - намного проще, чем понять, какой информацией можно пренебречь, при этом не снизив ценность тест-кейса.</w:t>
      </w:r>
    </w:p>
    <w:p w:rsidR="00A374AA" w:rsidRPr="00A374AA" w:rsidRDefault="00A374AA" w:rsidP="00A374AA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>Нужно ли вообще писать кейсы?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Ответ тот же, что и для любого документа - если написание кейсов решает определенную задачу и это обоснованно, то писать. Если вы один, не путаетесь в небольшом проекте, пользуетесь чек листами/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mind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map</w:t>
      </w:r>
      <w:proofErr w:type="gramStart"/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/..</w:t>
      </w:r>
      <w:proofErr w:type="gramEnd"/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, можете и без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TMS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/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test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runs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</w:t>
      </w:r>
      <w:r w:rsidRPr="00A374AA">
        <w:rPr>
          <w:rFonts w:ascii="Segoe UI" w:eastAsia="Times New Roman" w:hAnsi="Segoe UI" w:cs="Segoe UI"/>
          <w:color w:val="3B454E"/>
          <w:sz w:val="24"/>
          <w:szCs w:val="24"/>
        </w:rPr>
        <w:t>reports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наглядно предоставлять актуальные сведения о </w:t>
      </w:r>
      <w:proofErr w:type="spellStart"/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протестированности</w:t>
      </w:r>
      <w:proofErr w:type="spellEnd"/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>/качестве заинтересованным лицам, то не писать.</w:t>
      </w:r>
    </w:p>
    <w:p w:rsidR="00A374AA" w:rsidRPr="00A374AA" w:rsidRDefault="00A374AA" w:rsidP="00A374AA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t>Может ли быть несколько ожидаемых результатов?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Может, если это необходимо, но сразу после каждого шага.</w:t>
      </w:r>
    </w:p>
    <w:p w:rsidR="00A374AA" w:rsidRPr="00A374AA" w:rsidRDefault="00A374AA" w:rsidP="00A374AA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3B454E"/>
          <w:sz w:val="24"/>
          <w:szCs w:val="24"/>
          <w:lang w:val="ru-RU"/>
        </w:rPr>
      </w:pPr>
      <w:r w:rsidRPr="00A374AA">
        <w:rPr>
          <w:rFonts w:ascii="Segoe UI" w:eastAsia="Times New Roman" w:hAnsi="Segoe UI" w:cs="Segoe UI"/>
          <w:b/>
          <w:bCs/>
          <w:color w:val="3B454E"/>
          <w:sz w:val="24"/>
          <w:szCs w:val="24"/>
          <w:lang w:val="ru-RU"/>
        </w:rPr>
        <w:lastRenderedPageBreak/>
        <w:t>Можно ли объединять позитивные и негативные тест-кейсы?</w:t>
      </w:r>
      <w:r w:rsidRPr="00A374AA">
        <w:rPr>
          <w:rFonts w:ascii="Segoe UI" w:eastAsia="Times New Roman" w:hAnsi="Segoe UI" w:cs="Segoe UI"/>
          <w:color w:val="3B454E"/>
          <w:sz w:val="24"/>
          <w:szCs w:val="24"/>
          <w:lang w:val="ru-RU"/>
        </w:rPr>
        <w:t xml:space="preserve"> Позитивные можно, негативные нельзя, поскольку сложно будет понять, что именно влияет на результат.</w:t>
      </w:r>
    </w:p>
    <w:p w:rsidR="00460FC2" w:rsidRPr="00A374AA" w:rsidRDefault="00460FC2">
      <w:pPr>
        <w:rPr>
          <w:lang w:val="ru-RU"/>
        </w:rPr>
      </w:pPr>
    </w:p>
    <w:sectPr w:rsidR="00460FC2" w:rsidRPr="00A37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A717F"/>
    <w:multiLevelType w:val="multilevel"/>
    <w:tmpl w:val="D820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4321A"/>
    <w:multiLevelType w:val="multilevel"/>
    <w:tmpl w:val="8D4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AA"/>
    <w:rsid w:val="00460FC2"/>
    <w:rsid w:val="00A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4A0C7-0163-42CF-91E7-CC92FEE8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74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4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A374AA"/>
    <w:rPr>
      <w:i/>
      <w:iCs/>
    </w:rPr>
  </w:style>
  <w:style w:type="character" w:styleId="a4">
    <w:name w:val="Strong"/>
    <w:basedOn w:val="a0"/>
    <w:uiPriority w:val="22"/>
    <w:qFormat/>
    <w:rsid w:val="00A374AA"/>
    <w:rPr>
      <w:b/>
      <w:bCs/>
    </w:rPr>
  </w:style>
  <w:style w:type="paragraph" w:customStyle="1" w:styleId="r-1oszu61">
    <w:name w:val="r-1oszu61"/>
    <w:basedOn w:val="a"/>
    <w:rsid w:val="00A374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3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5156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4240058">
                      <w:marLeft w:val="0"/>
                      <w:marRight w:val="0"/>
                      <w:marTop w:val="0"/>
                      <w:marBottom w:val="360"/>
                      <w:divBdr>
                        <w:top w:val="single" w:sz="2" w:space="18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054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265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9079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196643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60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127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834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328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596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72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000000"/>
                                                    <w:left w:val="single" w:sz="2" w:space="0" w:color="000000"/>
                                                    <w:bottom w:val="single" w:sz="2" w:space="6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3672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606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2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489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449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174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109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6548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000000"/>
                                                    <w:left w:val="single" w:sz="2" w:space="0" w:color="000000"/>
                                                    <w:bottom w:val="single" w:sz="2" w:space="6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661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32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4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151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685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313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118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895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000000"/>
                                                    <w:left w:val="single" w:sz="2" w:space="0" w:color="000000"/>
                                                    <w:bottom w:val="single" w:sz="2" w:space="6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405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66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0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272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0624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3760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91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9197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000000"/>
                                                    <w:left w:val="single" w:sz="2" w:space="0" w:color="000000"/>
                                                    <w:bottom w:val="single" w:sz="2" w:space="6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624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256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401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031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6064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22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429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000000"/>
                                                    <w:left w:val="single" w:sz="2" w:space="0" w:color="000000"/>
                                                    <w:bottom w:val="single" w:sz="2" w:space="6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021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4549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99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277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0475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193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066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000000"/>
                                                    <w:left w:val="single" w:sz="2" w:space="0" w:color="000000"/>
                                                    <w:bottom w:val="single" w:sz="2" w:space="12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3986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16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2299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5441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914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5818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0063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32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885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0459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0463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0658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90353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92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0858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6395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448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1034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304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11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063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1637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4061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107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22110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1471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2115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45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6946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773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03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279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51291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4635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0742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1693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05996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16827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4203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019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01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12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0596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2432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53489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3940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0165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6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4665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4875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4459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7774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38337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68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9836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3858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666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37998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83551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35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64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9869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7370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363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41264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37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333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315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8451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52209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03375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56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082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0598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948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50503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78430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2539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9125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5267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2512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718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43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7834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90377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7296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57362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7523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11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50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863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860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4205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000000"/>
                                                    <w:left w:val="single" w:sz="2" w:space="0" w:color="000000"/>
                                                    <w:bottom w:val="single" w:sz="2" w:space="6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348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12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015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623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154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953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288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000000"/>
                                                    <w:left w:val="single" w:sz="2" w:space="0" w:color="000000"/>
                                                    <w:bottom w:val="single" w:sz="2" w:space="12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583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88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573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622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208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486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027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3796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97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182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60936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0889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2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21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9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993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423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378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75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000000"/>
                                                    <w:left w:val="single" w:sz="2" w:space="0" w:color="000000"/>
                                                    <w:bottom w:val="single" w:sz="2" w:space="6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857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5741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0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212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4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860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448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522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1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000000"/>
                                                    <w:left w:val="single" w:sz="2" w:space="0" w:color="000000"/>
                                                    <w:bottom w:val="single" w:sz="2" w:space="6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892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536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7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8214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3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962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348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04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191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000000"/>
                                                    <w:left w:val="single" w:sz="2" w:space="0" w:color="000000"/>
                                                    <w:bottom w:val="single" w:sz="2" w:space="6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855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09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Kryvonos;р</dc:creator>
  <cp:keywords/>
  <dc:description/>
  <cp:lastModifiedBy>Oleh Kryvonos</cp:lastModifiedBy>
  <cp:revision>1</cp:revision>
  <dcterms:created xsi:type="dcterms:W3CDTF">2023-05-20T06:13:00Z</dcterms:created>
  <dcterms:modified xsi:type="dcterms:W3CDTF">2023-05-20T06:14:00Z</dcterms:modified>
</cp:coreProperties>
</file>