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4" w:rsidRPr="004B6DBF" w:rsidRDefault="001E75C4" w:rsidP="004B6DBF">
      <w:pPr>
        <w:pStyle w:val="a3"/>
        <w:numPr>
          <w:ilvl w:val="0"/>
          <w:numId w:val="1"/>
        </w:numPr>
        <w:spacing w:before="240" w:line="240" w:lineRule="auto"/>
        <w:ind w:left="0" w:firstLine="709"/>
        <w:jc w:val="both"/>
        <w:rPr>
          <w:rFonts w:ascii="Times New Roman" w:hAnsi="Times New Roman" w:cs="Times New Roman"/>
          <w:sz w:val="28"/>
          <w:szCs w:val="28"/>
          <w:lang w:val="uk-UA"/>
        </w:rPr>
      </w:pPr>
      <w:r w:rsidRPr="004B6DBF">
        <w:rPr>
          <w:rFonts w:ascii="Times New Roman" w:hAnsi="Times New Roman" w:cs="Times New Roman"/>
          <w:sz w:val="28"/>
          <w:szCs w:val="28"/>
          <w:lang w:val="uk-UA"/>
        </w:rPr>
        <w:t xml:space="preserve">Постановка задачі. </w:t>
      </w:r>
    </w:p>
    <w:p w:rsidR="001E75C4" w:rsidRPr="004B6DBF" w:rsidRDefault="001E75C4" w:rsidP="004B6DBF">
      <w:pPr>
        <w:spacing w:before="240" w:line="240" w:lineRule="auto"/>
        <w:ind w:firstLine="709"/>
        <w:contextualSpacing/>
        <w:jc w:val="both"/>
        <w:rPr>
          <w:rFonts w:ascii="Times New Roman" w:hAnsi="Times New Roman" w:cs="Times New Roman"/>
          <w:sz w:val="28"/>
          <w:szCs w:val="28"/>
          <w:lang w:val="uk-UA"/>
        </w:rPr>
      </w:pPr>
      <w:r w:rsidRPr="004B6DBF">
        <w:rPr>
          <w:rFonts w:ascii="Times New Roman" w:hAnsi="Times New Roman" w:cs="Times New Roman"/>
          <w:sz w:val="28"/>
          <w:szCs w:val="28"/>
          <w:lang w:val="uk-UA"/>
        </w:rPr>
        <w:t>Умовні позначення:</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hAnsi="Times New Roman" w:cs="Times New Roman"/>
          <w:sz w:val="28"/>
          <w:szCs w:val="28"/>
          <w:lang w:val="uk-UA"/>
        </w:rPr>
        <w:t xml:space="preserve">Нехай </w:t>
      </w:r>
      <m:oMath>
        <m:r>
          <w:rPr>
            <w:rFonts w:ascii="Cambria Math" w:hAnsi="Cambria Math" w:cs="Times New Roman"/>
            <w:sz w:val="28"/>
            <w:szCs w:val="28"/>
            <w:lang w:val="uk-UA"/>
          </w:rPr>
          <m:t>S={</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r>
          <w:rPr>
            <w:rFonts w:ascii="Cambria Math" w:hAnsi="Cambria Math" w:cs="Times New Roman"/>
            <w:sz w:val="28"/>
            <w:szCs w:val="28"/>
            <w:lang w:val="uk-UA"/>
          </w:rPr>
          <m:t>, i=</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1, n</m:t>
            </m:r>
          </m:e>
        </m:acc>
        <m:r>
          <w:rPr>
            <w:rFonts w:ascii="Cambria Math" w:hAnsi="Cambria Math" w:cs="Times New Roman"/>
            <w:sz w:val="28"/>
            <w:szCs w:val="28"/>
            <w:lang w:val="uk-UA"/>
          </w:rPr>
          <m:t>}</m:t>
        </m:r>
      </m:oMath>
      <w:r w:rsidRPr="004B6DBF">
        <w:rPr>
          <w:rFonts w:ascii="Times New Roman" w:eastAsiaTheme="minorEastAsia" w:hAnsi="Times New Roman" w:cs="Times New Roman"/>
          <w:sz w:val="28"/>
          <w:szCs w:val="28"/>
        </w:rPr>
        <w:t xml:space="preserve"> – </w:t>
      </w:r>
      <w:r w:rsidRPr="004B6DBF">
        <w:rPr>
          <w:rFonts w:ascii="Times New Roman" w:eastAsiaTheme="minorEastAsia" w:hAnsi="Times New Roman" w:cs="Times New Roman"/>
          <w:sz w:val="28"/>
          <w:szCs w:val="28"/>
          <w:lang w:val="uk-UA"/>
        </w:rPr>
        <w:t xml:space="preserve">множина респондентів (користувачів), а </w:t>
      </w:r>
      <m:oMath>
        <m:r>
          <w:rPr>
            <w:rFonts w:ascii="Cambria Math" w:eastAsiaTheme="minorEastAsia" w:hAnsi="Cambria Math" w:cs="Times New Roman"/>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 n</m:t>
            </m:r>
          </m:e>
        </m:acc>
        <m:r>
          <w:rPr>
            <w:rFonts w:ascii="Cambria Math" w:eastAsiaTheme="minorEastAsia" w:hAnsi="Cambria Math" w:cs="Times New Roman"/>
            <w:sz w:val="28"/>
            <w:szCs w:val="28"/>
            <w:lang w:val="uk-UA"/>
          </w:rPr>
          <m:t>}</m:t>
        </m:r>
      </m:oMath>
      <w:r w:rsidRPr="004B6DBF">
        <w:rPr>
          <w:rFonts w:ascii="Times New Roman" w:eastAsiaTheme="minorEastAsia" w:hAnsi="Times New Roman" w:cs="Times New Roman"/>
          <w:sz w:val="28"/>
          <w:szCs w:val="28"/>
        </w:rPr>
        <w:t xml:space="preserve"> – </w:t>
      </w:r>
      <w:r w:rsidRPr="004B6DBF">
        <w:rPr>
          <w:rFonts w:ascii="Times New Roman" w:eastAsiaTheme="minorEastAsia" w:hAnsi="Times New Roman" w:cs="Times New Roman"/>
          <w:sz w:val="28"/>
          <w:szCs w:val="28"/>
          <w:lang w:val="uk-UA"/>
        </w:rPr>
        <w:t xml:space="preserve">множина точок, які були обрані респондентом. Кожний респондент має можливість обрати задану кількість точок з цілочисленими координатами на квадратній площині.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Введемо матрицю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C=</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 p</m:t>
                  </m:r>
                </m:sub>
              </m:sSub>
              <m:r>
                <w:rPr>
                  <w:rFonts w:ascii="Cambria Math" w:eastAsiaTheme="minorEastAsia" w:hAnsi="Cambria Math" w:cs="Times New Roman"/>
                  <w:sz w:val="28"/>
                  <w:szCs w:val="28"/>
                  <w:lang w:val="uk-UA"/>
                </w:rPr>
                <m:t>:s∈S, p∈P</m:t>
              </m:r>
            </m:e>
          </m:d>
          <m:r>
            <w:rPr>
              <w:rFonts w:ascii="Cambria Math" w:eastAsiaTheme="minorEastAsia" w:hAnsi="Cambria Math" w:cs="Times New Roman"/>
              <w:sz w:val="28"/>
              <w:szCs w:val="28"/>
              <w:lang w:val="uk-UA"/>
            </w:rPr>
            <m:t>,</m:t>
          </m:r>
        </m:oMath>
      </m:oMathPara>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де елемент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s,p</m:t>
            </m:r>
          </m:sub>
        </m:sSub>
      </m:oMath>
      <w:r w:rsidRPr="004B6DBF">
        <w:rPr>
          <w:rFonts w:ascii="Times New Roman" w:eastAsiaTheme="minorEastAsia" w:hAnsi="Times New Roman" w:cs="Times New Roman"/>
          <w:sz w:val="28"/>
          <w:szCs w:val="28"/>
        </w:rPr>
        <w:t xml:space="preserve"> – </w:t>
      </w:r>
      <w:r w:rsidRPr="004B6DBF">
        <w:rPr>
          <w:rFonts w:ascii="Times New Roman" w:eastAsiaTheme="minorEastAsia" w:hAnsi="Times New Roman" w:cs="Times New Roman"/>
          <w:sz w:val="28"/>
          <w:szCs w:val="28"/>
          <w:lang w:val="uk-UA"/>
        </w:rPr>
        <w:t xml:space="preserve">координати точки під номером </w:t>
      </w:r>
      <m:oMath>
        <m:r>
          <w:rPr>
            <w:rFonts w:ascii="Cambria Math" w:eastAsiaTheme="minorEastAsia" w:hAnsi="Cambria Math" w:cs="Times New Roman"/>
            <w:sz w:val="28"/>
            <w:szCs w:val="28"/>
            <w:lang w:val="uk-UA"/>
          </w:rPr>
          <m:t>p</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респондента </w:t>
      </w:r>
      <m:oMath>
        <m:r>
          <w:rPr>
            <w:rFonts w:ascii="Cambria Math" w:eastAsiaTheme="minorEastAsia" w:hAnsi="Cambria Math" w:cs="Times New Roman"/>
            <w:sz w:val="28"/>
            <w:szCs w:val="28"/>
            <w:lang w:val="uk-UA"/>
          </w:rPr>
          <m:t>s</m:t>
        </m:r>
      </m:oMath>
      <w:r w:rsidRPr="004B6DBF">
        <w:rPr>
          <w:rFonts w:ascii="Times New Roman" w:eastAsiaTheme="minorEastAsia" w:hAnsi="Times New Roman" w:cs="Times New Roman"/>
          <w:sz w:val="28"/>
          <w:szCs w:val="28"/>
        </w:rPr>
        <w:t>.</w:t>
      </w:r>
      <w:r w:rsidRPr="004B6DBF">
        <w:rPr>
          <w:rFonts w:ascii="Times New Roman" w:eastAsiaTheme="minorEastAsia" w:hAnsi="Times New Roman" w:cs="Times New Roman"/>
          <w:sz w:val="28"/>
          <w:szCs w:val="28"/>
          <w:lang w:val="uk-UA"/>
        </w:rPr>
        <w:t xml:space="preserve"> Загалом, частина точок відома (задана), а частина – невідома.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Отже, задача </w:t>
      </w:r>
      <w:proofErr w:type="spellStart"/>
      <w:r w:rsidRPr="004B6DBF">
        <w:rPr>
          <w:rFonts w:ascii="Times New Roman" w:eastAsiaTheme="minorEastAsia" w:hAnsi="Times New Roman" w:cs="Times New Roman"/>
          <w:sz w:val="28"/>
          <w:szCs w:val="28"/>
          <w:lang w:val="uk-UA"/>
        </w:rPr>
        <w:t>заключається</w:t>
      </w:r>
      <w:proofErr w:type="spellEnd"/>
      <w:r w:rsidRPr="004B6DBF">
        <w:rPr>
          <w:rFonts w:ascii="Times New Roman" w:eastAsiaTheme="minorEastAsia" w:hAnsi="Times New Roman" w:cs="Times New Roman"/>
          <w:sz w:val="28"/>
          <w:szCs w:val="28"/>
          <w:lang w:val="uk-UA"/>
        </w:rPr>
        <w:t xml:space="preserve"> у оцінці потенціальних значень невідомих елементів за вже відомими (заданими) елементами. </w:t>
      </w:r>
    </w:p>
    <w:p w:rsidR="001E75C4" w:rsidRPr="004B6DBF" w:rsidRDefault="001E75C4" w:rsidP="004B6DBF">
      <w:pPr>
        <w:pStyle w:val="a3"/>
        <w:numPr>
          <w:ilvl w:val="0"/>
          <w:numId w:val="1"/>
        </w:numPr>
        <w:spacing w:before="240" w:line="240" w:lineRule="auto"/>
        <w:ind w:left="0" w:firstLine="709"/>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Колаборативна фільтрація.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Колаборативна фільтрація – метод, за якого невідомі елементи множини оцінюються лише за відомими елементами тієї ж множини без викроистання додаткової інфромації.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Ідея </w:t>
      </w:r>
      <w:proofErr w:type="spellStart"/>
      <w:r w:rsidRPr="004B6DBF">
        <w:rPr>
          <w:rFonts w:ascii="Times New Roman" w:eastAsiaTheme="minorEastAsia" w:hAnsi="Times New Roman" w:cs="Times New Roman"/>
          <w:sz w:val="28"/>
          <w:szCs w:val="28"/>
          <w:lang w:val="uk-UA"/>
        </w:rPr>
        <w:t>колаборативної</w:t>
      </w:r>
      <w:proofErr w:type="spellEnd"/>
      <w:r w:rsidRPr="004B6DBF">
        <w:rPr>
          <w:rFonts w:ascii="Times New Roman" w:eastAsiaTheme="minorEastAsia" w:hAnsi="Times New Roman" w:cs="Times New Roman"/>
          <w:sz w:val="28"/>
          <w:szCs w:val="28"/>
          <w:lang w:val="uk-UA"/>
        </w:rPr>
        <w:t xml:space="preserve"> </w:t>
      </w:r>
      <w:proofErr w:type="spellStart"/>
      <w:r w:rsidRPr="004B6DBF">
        <w:rPr>
          <w:rFonts w:ascii="Times New Roman" w:eastAsiaTheme="minorEastAsia" w:hAnsi="Times New Roman" w:cs="Times New Roman"/>
          <w:sz w:val="28"/>
          <w:szCs w:val="28"/>
          <w:lang w:val="uk-UA"/>
        </w:rPr>
        <w:t>фільрації</w:t>
      </w:r>
      <w:proofErr w:type="spellEnd"/>
      <w:r w:rsidRPr="004B6DBF">
        <w:rPr>
          <w:rFonts w:ascii="Times New Roman" w:eastAsiaTheme="minorEastAsia" w:hAnsi="Times New Roman" w:cs="Times New Roman"/>
          <w:sz w:val="28"/>
          <w:szCs w:val="28"/>
          <w:lang w:val="uk-UA"/>
        </w:rPr>
        <w:t xml:space="preserve"> </w:t>
      </w:r>
      <w:proofErr w:type="spellStart"/>
      <w:r w:rsidRPr="004B6DBF">
        <w:rPr>
          <w:rFonts w:ascii="Times New Roman" w:eastAsiaTheme="minorEastAsia" w:hAnsi="Times New Roman" w:cs="Times New Roman"/>
          <w:sz w:val="28"/>
          <w:szCs w:val="28"/>
          <w:lang w:val="uk-UA"/>
        </w:rPr>
        <w:t>заключається</w:t>
      </w:r>
      <w:proofErr w:type="spellEnd"/>
      <w:r w:rsidRPr="004B6DBF">
        <w:rPr>
          <w:rFonts w:ascii="Times New Roman" w:eastAsiaTheme="minorEastAsia" w:hAnsi="Times New Roman" w:cs="Times New Roman"/>
          <w:sz w:val="28"/>
          <w:szCs w:val="28"/>
          <w:lang w:val="uk-UA"/>
        </w:rPr>
        <w:t xml:space="preserve"> у тому, що «схожі» люди діють подібним чином.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rPr>
      </w:pPr>
      <w:r w:rsidRPr="004B6DBF">
        <w:rPr>
          <w:rFonts w:ascii="Times New Roman" w:eastAsiaTheme="minorEastAsia" w:hAnsi="Times New Roman" w:cs="Times New Roman"/>
          <w:sz w:val="28"/>
          <w:szCs w:val="28"/>
          <w:lang w:val="uk-UA"/>
        </w:rPr>
        <w:t>Найбільш використовуваний метод для данного способу – к найближчих сусідів (</w:t>
      </w:r>
      <w:r w:rsidRPr="004B6DBF">
        <w:rPr>
          <w:rFonts w:ascii="Times New Roman" w:eastAsiaTheme="minorEastAsia" w:hAnsi="Times New Roman" w:cs="Times New Roman"/>
          <w:i/>
          <w:sz w:val="28"/>
          <w:szCs w:val="28"/>
          <w:lang w:val="en-US"/>
        </w:rPr>
        <w:t>K</w:t>
      </w:r>
      <w:r w:rsidRPr="004B6DBF">
        <w:rPr>
          <w:rFonts w:ascii="Times New Roman" w:eastAsiaTheme="minorEastAsia" w:hAnsi="Times New Roman" w:cs="Times New Roman"/>
          <w:i/>
          <w:sz w:val="28"/>
          <w:szCs w:val="28"/>
        </w:rPr>
        <w:t xml:space="preserve"> </w:t>
      </w:r>
      <w:r w:rsidRPr="004B6DBF">
        <w:rPr>
          <w:rFonts w:ascii="Times New Roman" w:eastAsiaTheme="minorEastAsia" w:hAnsi="Times New Roman" w:cs="Times New Roman"/>
          <w:i/>
          <w:sz w:val="28"/>
          <w:szCs w:val="28"/>
          <w:lang w:val="en-US"/>
        </w:rPr>
        <w:t>Nearest</w:t>
      </w:r>
      <w:r w:rsidRPr="004B6DBF">
        <w:rPr>
          <w:rFonts w:ascii="Times New Roman" w:eastAsiaTheme="minorEastAsia" w:hAnsi="Times New Roman" w:cs="Times New Roman"/>
          <w:i/>
          <w:sz w:val="28"/>
          <w:szCs w:val="28"/>
        </w:rPr>
        <w:t xml:space="preserve"> </w:t>
      </w:r>
      <w:r w:rsidRPr="004B6DBF">
        <w:rPr>
          <w:rFonts w:ascii="Times New Roman" w:eastAsiaTheme="minorEastAsia" w:hAnsi="Times New Roman" w:cs="Times New Roman"/>
          <w:i/>
          <w:sz w:val="28"/>
          <w:szCs w:val="28"/>
          <w:lang w:val="en-US"/>
        </w:rPr>
        <w:t>Neighbors</w:t>
      </w:r>
      <w:r w:rsidRPr="004B6DBF">
        <w:rPr>
          <w:rFonts w:ascii="Times New Roman" w:eastAsiaTheme="minorEastAsia" w:hAnsi="Times New Roman" w:cs="Times New Roman"/>
          <w:sz w:val="28"/>
          <w:szCs w:val="28"/>
        </w:rPr>
        <w:t xml:space="preserve">). </w:t>
      </w:r>
    </w:p>
    <w:p w:rsidR="001E75C4" w:rsidRPr="004B6DBF" w:rsidRDefault="001E75C4" w:rsidP="004B6DBF">
      <w:pPr>
        <w:pStyle w:val="a3"/>
        <w:numPr>
          <w:ilvl w:val="0"/>
          <w:numId w:val="1"/>
        </w:numPr>
        <w:spacing w:before="240" w:line="240" w:lineRule="auto"/>
        <w:ind w:left="0" w:firstLine="709"/>
        <w:jc w:val="both"/>
        <w:rPr>
          <w:rFonts w:ascii="Times New Roman" w:eastAsiaTheme="minorEastAsia" w:hAnsi="Times New Roman" w:cs="Times New Roman"/>
          <w:sz w:val="28"/>
          <w:szCs w:val="28"/>
          <w:lang w:val="en-US"/>
        </w:rPr>
      </w:pPr>
      <w:r w:rsidRPr="004B6DBF">
        <w:rPr>
          <w:rFonts w:ascii="Times New Roman" w:eastAsiaTheme="minorEastAsia" w:hAnsi="Times New Roman" w:cs="Times New Roman"/>
          <w:sz w:val="28"/>
          <w:szCs w:val="28"/>
          <w:lang w:val="uk-UA"/>
        </w:rPr>
        <w:t xml:space="preserve">Метод к найближчих сусідів. </w:t>
      </w:r>
    </w:p>
    <w:p w:rsidR="001E75C4" w:rsidRPr="004B6DBF" w:rsidRDefault="001E75C4"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Мірою </w:t>
      </w:r>
      <w:r w:rsidR="006B50C8" w:rsidRPr="004B6DBF">
        <w:rPr>
          <w:rFonts w:ascii="Times New Roman" w:eastAsiaTheme="minorEastAsia" w:hAnsi="Times New Roman" w:cs="Times New Roman"/>
          <w:sz w:val="28"/>
          <w:szCs w:val="28"/>
          <w:lang w:val="uk-UA"/>
        </w:rPr>
        <w:t>подібності</w:t>
      </w:r>
      <w:r w:rsidRPr="004B6DBF">
        <w:rPr>
          <w:rFonts w:ascii="Times New Roman" w:eastAsiaTheme="minorEastAsia" w:hAnsi="Times New Roman" w:cs="Times New Roman"/>
          <w:sz w:val="28"/>
          <w:szCs w:val="28"/>
          <w:lang w:val="uk-UA"/>
        </w:rPr>
        <w:t xml:space="preserve"> респондентів може слугувати будь-яка метрика на просторі </w:t>
      </w:r>
      <w:r w:rsidRPr="004B6DBF">
        <w:rPr>
          <w:rFonts w:ascii="Times New Roman" w:eastAsiaTheme="minorEastAsia" w:hAnsi="Times New Roman" w:cs="Times New Roman"/>
          <w:sz w:val="28"/>
          <w:szCs w:val="28"/>
          <w:lang w:val="en-US"/>
        </w:rPr>
        <w:t>m-</w:t>
      </w:r>
      <w:r w:rsidRPr="004B6DBF">
        <w:rPr>
          <w:rFonts w:ascii="Times New Roman" w:eastAsiaTheme="minorEastAsia" w:hAnsi="Times New Roman" w:cs="Times New Roman"/>
          <w:sz w:val="28"/>
          <w:szCs w:val="28"/>
          <w:lang w:val="uk-UA"/>
        </w:rPr>
        <w:t>мірних векторів</w:t>
      </w:r>
      <w:r w:rsidR="006B50C8" w:rsidRPr="004B6DBF">
        <w:rPr>
          <w:rFonts w:ascii="Times New Roman" w:eastAsiaTheme="minorEastAsia" w:hAnsi="Times New Roman" w:cs="Times New Roman"/>
          <w:sz w:val="28"/>
          <w:szCs w:val="28"/>
          <w:lang w:val="uk-UA"/>
        </w:rPr>
        <w:t>, наприклад, індукована евклідова метрика, коефіцієнт кореляції Пірсона (показник лінійної залежності між центрованими векторами), косинуса подібності (показник лінійної залежності між векторами) і т.д. Розрізняють два варіанти реалізації методу к найближчих сусідів: орієнтований на користувачів та орієнтований на об</w:t>
      </w:r>
      <w:r w:rsidR="006B50C8" w:rsidRPr="004B6DBF">
        <w:rPr>
          <w:rFonts w:ascii="Times New Roman" w:eastAsiaTheme="minorEastAsia" w:hAnsi="Times New Roman" w:cs="Times New Roman"/>
          <w:sz w:val="28"/>
          <w:szCs w:val="28"/>
          <w:lang w:val="en-US"/>
        </w:rPr>
        <w:t>’</w:t>
      </w:r>
      <w:r w:rsidR="006B50C8" w:rsidRPr="004B6DBF">
        <w:rPr>
          <w:rFonts w:ascii="Times New Roman" w:eastAsiaTheme="minorEastAsia" w:hAnsi="Times New Roman" w:cs="Times New Roman"/>
          <w:sz w:val="28"/>
          <w:szCs w:val="28"/>
          <w:lang w:val="uk-UA"/>
        </w:rPr>
        <w:t xml:space="preserve">єкти. </w:t>
      </w:r>
    </w:p>
    <w:p w:rsidR="006B50C8" w:rsidRPr="004B6DBF" w:rsidRDefault="006B50C8"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Виходячи з формулювання досліджуваної задачі, розглядатимемо реалізацію, орієнтовану на користувачів. </w:t>
      </w:r>
    </w:p>
    <w:p w:rsidR="006B50C8" w:rsidRPr="004B6DBF" w:rsidRDefault="006B50C8"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Ідея методу: знаючи </w:t>
      </w:r>
      <w:r w:rsidRPr="004B6DBF">
        <w:rPr>
          <w:rFonts w:ascii="Times New Roman" w:eastAsiaTheme="minorEastAsia" w:hAnsi="Times New Roman" w:cs="Times New Roman"/>
          <w:sz w:val="28"/>
          <w:szCs w:val="28"/>
          <w:lang w:val="en-US"/>
        </w:rPr>
        <w:t>m</w:t>
      </w:r>
      <w:r w:rsidRPr="004B6DBF">
        <w:rPr>
          <w:rFonts w:ascii="Times New Roman" w:eastAsiaTheme="minorEastAsia" w:hAnsi="Times New Roman" w:cs="Times New Roman"/>
          <w:sz w:val="28"/>
          <w:szCs w:val="28"/>
        </w:rPr>
        <w:t>-</w:t>
      </w:r>
      <w:r w:rsidRPr="004B6DBF">
        <w:rPr>
          <w:rFonts w:ascii="Times New Roman" w:eastAsiaTheme="minorEastAsia" w:hAnsi="Times New Roman" w:cs="Times New Roman"/>
          <w:sz w:val="28"/>
          <w:szCs w:val="28"/>
          <w:lang w:val="uk-UA"/>
        </w:rPr>
        <w:t xml:space="preserve">вимірні вектори послідовного вибору точок на площині для кожного респондента, можна встановити між ними міру подібності та представити невідоме значення точки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 p</m:t>
            </m:r>
          </m:sub>
        </m:sSub>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кожного користувача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1,n</m:t>
            </m:r>
          </m:e>
        </m:acc>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через лінійну комбінацію (зважену суму) </w:t>
      </w:r>
      <m:oMath>
        <m:r>
          <w:rPr>
            <w:rFonts w:ascii="Cambria Math" w:eastAsiaTheme="minorEastAsia" w:hAnsi="Cambria Math" w:cs="Times New Roman"/>
            <w:sz w:val="28"/>
            <w:szCs w:val="28"/>
            <w:lang w:val="uk-UA"/>
          </w:rPr>
          <m:t>k</m:t>
        </m:r>
      </m:oMath>
      <w:r w:rsidRPr="004B6DBF">
        <w:rPr>
          <w:rFonts w:ascii="Times New Roman" w:eastAsiaTheme="minorEastAsia" w:hAnsi="Times New Roman" w:cs="Times New Roman"/>
          <w:sz w:val="28"/>
          <w:szCs w:val="28"/>
          <w:lang w:val="uk-UA"/>
        </w:rPr>
        <w:t xml:space="preserve"> його сусідів. </w:t>
      </w:r>
    </w:p>
    <w:p w:rsidR="006B50C8" w:rsidRPr="004B6DBF" w:rsidRDefault="006B50C8"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Коефіцієнт кореляції Пірсона між користувачами розраховується з урахуванням </w:t>
      </w:r>
      <w:r w:rsidR="006B5218" w:rsidRPr="004B6DBF">
        <w:rPr>
          <w:rFonts w:ascii="Times New Roman" w:eastAsiaTheme="minorEastAsia" w:hAnsi="Times New Roman" w:cs="Times New Roman"/>
          <w:sz w:val="28"/>
          <w:szCs w:val="28"/>
          <w:lang w:val="uk-UA"/>
        </w:rPr>
        <w:t>дисперсії:</w:t>
      </w:r>
    </w:p>
    <w:p w:rsidR="006B5218" w:rsidRPr="004B6DBF" w:rsidRDefault="006B5218" w:rsidP="004B6DBF">
      <w:pPr>
        <w:spacing w:before="240" w:line="240" w:lineRule="auto"/>
        <w:ind w:firstLine="709"/>
        <w:contextualSpacing/>
        <w:jc w:val="both"/>
        <w:rPr>
          <w:rFonts w:ascii="Times New Roman" w:eastAsiaTheme="minorEastAsia" w:hAnsi="Times New Roman" w:cs="Times New Roman"/>
          <w:i/>
          <w:sz w:val="28"/>
          <w:szCs w:val="28"/>
          <w:lang w:val="uk-UA"/>
        </w:rPr>
      </w:pPr>
      <m:oMathPara>
        <m:oMath>
          <m:r>
            <w:rPr>
              <w:rFonts w:ascii="Cambria Math" w:eastAsiaTheme="minorEastAsia" w:hAnsi="Cambria Math" w:cs="Times New Roman"/>
              <w:sz w:val="28"/>
              <w:szCs w:val="28"/>
              <w:lang w:val="uk-UA"/>
            </w:rPr>
            <w:lastRenderedPageBreak/>
            <m:t>corr</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d>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cov</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d>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σ</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σ</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r>
                <w:rPr>
                  <w:rFonts w:ascii="Cambria Math" w:eastAsiaTheme="minorEastAsia" w:hAnsi="Cambria Math" w:cs="Times New Roman"/>
                  <w:sz w:val="28"/>
                  <w:szCs w:val="28"/>
                  <w:lang w:val="uk-UA"/>
                </w:rPr>
                <m:t>)</m:t>
              </m:r>
            </m:num>
            <m:den>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M</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sub>
                      </m:sSub>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e>
              </m:rad>
            </m:den>
          </m:f>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m:t>
                  </m:r>
                </m:num>
                <m:den>
                  <m:r>
                    <w:rPr>
                      <w:rFonts w:ascii="Cambria Math" w:eastAsiaTheme="minorEastAsia" w:hAnsi="Cambria Math" w:cs="Times New Roman"/>
                      <w:sz w:val="28"/>
                      <w:szCs w:val="28"/>
                      <w:lang w:val="uk-UA"/>
                    </w:rPr>
                    <m:t>m</m:t>
                  </m:r>
                </m:den>
              </m:f>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e>
                  </m:acc>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acc>
                  <m:r>
                    <w:rPr>
                      <w:rFonts w:ascii="Cambria Math" w:eastAsiaTheme="minorEastAsia" w:hAnsi="Cambria Math" w:cs="Times New Roman"/>
                      <w:sz w:val="28"/>
                      <w:szCs w:val="28"/>
                      <w:lang w:val="uk-UA"/>
                    </w:rPr>
                    <m:t>)</m:t>
                  </m:r>
                </m:e>
              </m:nary>
            </m:num>
            <m:den>
              <m:rad>
                <m:radPr>
                  <m:degHide m:val="1"/>
                  <m:ctrlPr>
                    <w:rPr>
                      <w:rFonts w:ascii="Cambria Math" w:eastAsiaTheme="minorEastAsia" w:hAnsi="Cambria Math" w:cs="Times New Roman"/>
                      <w:i/>
                      <w:sz w:val="28"/>
                      <w:szCs w:val="28"/>
                      <w:lang w:val="uk-UA"/>
                    </w:rPr>
                  </m:ctrlPr>
                </m:radPr>
                <m:deg/>
                <m:e>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m:t>
                      </m:r>
                    </m:num>
                    <m:den>
                      <m:r>
                        <w:rPr>
                          <w:rFonts w:ascii="Cambria Math" w:eastAsiaTheme="minorEastAsia" w:hAnsi="Cambria Math" w:cs="Times New Roman"/>
                          <w:sz w:val="28"/>
                          <w:szCs w:val="28"/>
                          <w:lang w:val="uk-UA"/>
                        </w:rPr>
                        <m:t>m-1</m:t>
                      </m:r>
                    </m:den>
                  </m:f>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e>
                          </m:acc>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m:t>
                          </m:r>
                        </m:num>
                        <m:den>
                          <m:r>
                            <w:rPr>
                              <w:rFonts w:ascii="Cambria Math" w:eastAsiaTheme="minorEastAsia" w:hAnsi="Cambria Math" w:cs="Times New Roman"/>
                              <w:sz w:val="28"/>
                              <w:szCs w:val="28"/>
                              <w:lang w:val="uk-UA"/>
                            </w:rPr>
                            <m:t>m-1</m:t>
                          </m:r>
                        </m:den>
                      </m:f>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acc>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e>
                      </m:nary>
                    </m:e>
                  </m:nary>
                </m:e>
              </m:rad>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m-1</m:t>
              </m:r>
            </m:num>
            <m:den>
              <m:r>
                <w:rPr>
                  <w:rFonts w:ascii="Cambria Math" w:eastAsiaTheme="minorEastAsia" w:hAnsi="Cambria Math" w:cs="Times New Roman"/>
                  <w:sz w:val="28"/>
                  <w:szCs w:val="28"/>
                  <w:lang w:val="uk-UA"/>
                </w:rPr>
                <m:t>m</m:t>
              </m:r>
            </m:den>
          </m:f>
          <m:f>
            <m:fPr>
              <m:ctrlPr>
                <w:rPr>
                  <w:rFonts w:ascii="Cambria Math" w:eastAsiaTheme="minorEastAsia" w:hAnsi="Cambria Math" w:cs="Times New Roman"/>
                  <w:i/>
                  <w:sz w:val="28"/>
                  <w:szCs w:val="28"/>
                  <w:lang w:val="uk-UA"/>
                </w:rPr>
              </m:ctrlPr>
            </m:fPr>
            <m:num>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e>
                  </m:acc>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acc>
                  <m:r>
                    <w:rPr>
                      <w:rFonts w:ascii="Cambria Math" w:eastAsiaTheme="minorEastAsia" w:hAnsi="Cambria Math" w:cs="Times New Roman"/>
                      <w:sz w:val="28"/>
                      <w:szCs w:val="28"/>
                      <w:lang w:val="uk-UA"/>
                    </w:rPr>
                    <m:t>)</m:t>
                  </m:r>
                </m:e>
              </m:nary>
            </m:num>
            <m:den>
              <m:rad>
                <m:radPr>
                  <m:degHide m:val="1"/>
                  <m:ctrlPr>
                    <w:rPr>
                      <w:rFonts w:ascii="Cambria Math" w:eastAsiaTheme="minorEastAsia" w:hAnsi="Cambria Math" w:cs="Times New Roman"/>
                      <w:i/>
                      <w:sz w:val="28"/>
                      <w:szCs w:val="28"/>
                      <w:lang w:val="uk-UA"/>
                    </w:rPr>
                  </m:ctrlPr>
                </m:radPr>
                <m:deg/>
                <m:e>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e>
                          </m:acc>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m</m:t>
                          </m:r>
                        </m:sup>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acc>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e>
                      </m:nary>
                    </m:e>
                  </m:nary>
                </m:e>
              </m:rad>
            </m:den>
          </m:f>
          <m:r>
            <w:rPr>
              <w:rFonts w:ascii="Cambria Math" w:eastAsiaTheme="minorEastAsia" w:hAnsi="Cambria Math" w:cs="Times New Roman"/>
              <w:sz w:val="28"/>
              <w:szCs w:val="28"/>
              <w:lang w:val="uk-UA"/>
            </w:rPr>
            <m:t>.</m:t>
          </m:r>
        </m:oMath>
      </m:oMathPara>
    </w:p>
    <w:p w:rsidR="006B5218" w:rsidRPr="004B6DBF" w:rsidRDefault="006B5218"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Коефіцієнт кореляції Спірмена між двома користувачами розраховується за формулою:</w:t>
      </w:r>
    </w:p>
    <w:p w:rsidR="006B5218" w:rsidRPr="004B6DBF" w:rsidRDefault="006B5218" w:rsidP="004B6DBF">
      <w:pPr>
        <w:spacing w:before="240" w:line="240" w:lineRule="auto"/>
        <w:ind w:firstLine="709"/>
        <w:contextualSpacing/>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ρ</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d>
          <m:r>
            <w:rPr>
              <w:rFonts w:ascii="Cambria Math" w:eastAsiaTheme="minorEastAsia" w:hAnsi="Cambria Math" w:cs="Times New Roman"/>
              <w:sz w:val="28"/>
              <w:szCs w:val="28"/>
              <w:lang w:val="uk-UA"/>
            </w:rPr>
            <m:t xml:space="preserve">=1-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6</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en-US"/>
                    </w:rPr>
                    <m:t>p=1</m:t>
                  </m:r>
                </m:sub>
                <m:sup>
                  <m:r>
                    <w:rPr>
                      <w:rFonts w:ascii="Cambria Math" w:eastAsiaTheme="minorEastAsia" w:hAnsi="Cambria Math" w:cs="Times New Roman"/>
                      <w:sz w:val="28"/>
                      <w:szCs w:val="28"/>
                      <w:lang w:val="uk-UA"/>
                    </w:rPr>
                    <m:t>m</m:t>
                  </m:r>
                </m:sup>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p</m:t>
                      </m:r>
                    </m:sub>
                    <m:sup>
                      <m:r>
                        <w:rPr>
                          <w:rFonts w:ascii="Cambria Math" w:eastAsiaTheme="minorEastAsia" w:hAnsi="Cambria Math" w:cs="Times New Roman"/>
                          <w:sz w:val="28"/>
                          <w:szCs w:val="28"/>
                          <w:lang w:val="uk-UA"/>
                        </w:rPr>
                        <m:t>2</m:t>
                      </m:r>
                    </m:sup>
                  </m:sSubSup>
                </m:e>
              </m:nary>
            </m:num>
            <m:den>
              <m:r>
                <w:rPr>
                  <w:rFonts w:ascii="Cambria Math" w:eastAsiaTheme="minorEastAsia" w:hAnsi="Cambria Math" w:cs="Times New Roman"/>
                  <w:sz w:val="28"/>
                  <w:szCs w:val="28"/>
                  <w:lang w:val="uk-UA"/>
                </w:rPr>
                <m:t>m</m:t>
              </m:r>
              <m:d>
                <m:dPr>
                  <m:ctrlPr>
                    <w:rPr>
                      <w:rFonts w:ascii="Cambria Math" w:eastAsiaTheme="minorEastAsia" w:hAnsi="Cambria Math" w:cs="Times New Roman"/>
                      <w:i/>
                      <w:sz w:val="28"/>
                      <w:szCs w:val="28"/>
                      <w:lang w:val="uk-UA"/>
                    </w:rPr>
                  </m:ctrlPr>
                </m:d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-1</m:t>
                  </m:r>
                </m:e>
              </m:d>
            </m:den>
          </m:f>
          <m:r>
            <w:rPr>
              <w:rFonts w:ascii="Cambria Math" w:eastAsiaTheme="minorEastAsia" w:hAnsi="Cambria Math" w:cs="Times New Roman"/>
              <w:sz w:val="28"/>
              <w:szCs w:val="28"/>
              <w:lang w:val="uk-UA"/>
            </w:rPr>
            <m:t>,</m:t>
          </m:r>
        </m:oMath>
      </m:oMathPara>
    </w:p>
    <w:p w:rsidR="00052793" w:rsidRPr="004B6DBF" w:rsidRDefault="00052793"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p</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 p</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 p</m:t>
            </m:r>
          </m:sub>
        </m:sSub>
        <m:r>
          <w:rPr>
            <w:rFonts w:ascii="Cambria Math" w:eastAsiaTheme="minorEastAsia" w:hAnsi="Cambria Math" w:cs="Times New Roman"/>
            <w:sz w:val="28"/>
            <w:szCs w:val="28"/>
            <w:lang w:val="uk-UA"/>
          </w:rPr>
          <m:t>.</m:t>
        </m:r>
      </m:oMath>
    </w:p>
    <w:p w:rsidR="00052793" w:rsidRPr="004B6DBF" w:rsidRDefault="00052793" w:rsidP="004B6DBF">
      <w:pPr>
        <w:spacing w:before="240" w:line="240" w:lineRule="auto"/>
        <w:ind w:firstLine="709"/>
        <w:contextualSpacing/>
        <w:jc w:val="both"/>
        <w:rPr>
          <w:rFonts w:ascii="Times New Roman" w:eastAsiaTheme="minorEastAsia" w:hAnsi="Times New Roman" w:cs="Times New Roman"/>
          <w:sz w:val="28"/>
          <w:szCs w:val="28"/>
        </w:rPr>
      </w:pPr>
      <w:r w:rsidRPr="004B6DBF">
        <w:rPr>
          <w:rFonts w:ascii="Times New Roman" w:eastAsiaTheme="minorEastAsia" w:hAnsi="Times New Roman" w:cs="Times New Roman"/>
          <w:sz w:val="28"/>
          <w:szCs w:val="28"/>
          <w:lang w:val="uk-UA"/>
        </w:rPr>
        <w:t xml:space="preserve">Виходячи зі специфіки задачі, оцінювати координати невідомих точок будемо окремо для координати </w:t>
      </w:r>
      <w:r w:rsidRPr="004B6DBF">
        <w:rPr>
          <w:rFonts w:ascii="Times New Roman" w:eastAsiaTheme="minorEastAsia" w:hAnsi="Times New Roman" w:cs="Times New Roman"/>
          <w:sz w:val="28"/>
          <w:szCs w:val="28"/>
          <w:lang w:val="en-US"/>
        </w:rPr>
        <w:t>x</w:t>
      </w:r>
      <w:r w:rsidRPr="004B6DBF">
        <w:rPr>
          <w:rFonts w:ascii="Times New Roman" w:eastAsiaTheme="minorEastAsia" w:hAnsi="Times New Roman" w:cs="Times New Roman"/>
          <w:sz w:val="28"/>
          <w:szCs w:val="28"/>
        </w:rPr>
        <w:t xml:space="preserve"> та для </w:t>
      </w:r>
      <w:r w:rsidRPr="004B6DBF">
        <w:rPr>
          <w:rFonts w:ascii="Times New Roman" w:eastAsiaTheme="minorEastAsia" w:hAnsi="Times New Roman" w:cs="Times New Roman"/>
          <w:sz w:val="28"/>
          <w:szCs w:val="28"/>
          <w:lang w:val="uk-UA"/>
        </w:rPr>
        <w:t xml:space="preserve">координати </w:t>
      </w:r>
      <w:r w:rsidRPr="004B6DBF">
        <w:rPr>
          <w:rFonts w:ascii="Times New Roman" w:eastAsiaTheme="minorEastAsia" w:hAnsi="Times New Roman" w:cs="Times New Roman"/>
          <w:sz w:val="28"/>
          <w:szCs w:val="28"/>
          <w:lang w:val="en-US"/>
        </w:rPr>
        <w:t>y</w:t>
      </w:r>
      <w:r w:rsidRPr="004B6DBF">
        <w:rPr>
          <w:rFonts w:ascii="Times New Roman" w:eastAsiaTheme="minorEastAsia" w:hAnsi="Times New Roman" w:cs="Times New Roman"/>
          <w:sz w:val="28"/>
          <w:szCs w:val="28"/>
        </w:rPr>
        <w:t xml:space="preserve">. </w:t>
      </w:r>
    </w:p>
    <w:p w:rsidR="00052793" w:rsidRPr="004B6DBF" w:rsidRDefault="00052793"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З коефіцієнтів подібності складається матриця подібності </w:t>
      </w:r>
      <m:oMath>
        <m:r>
          <w:rPr>
            <w:rFonts w:ascii="Cambria Math" w:eastAsiaTheme="minorEastAsia" w:hAnsi="Cambria Math" w:cs="Times New Roman"/>
            <w:sz w:val="28"/>
            <w:szCs w:val="28"/>
            <w:lang w:val="uk-UA"/>
          </w:rPr>
          <m:t>Sim</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розміром </w:t>
      </w:r>
      <m:oMath>
        <m:r>
          <w:rPr>
            <w:rFonts w:ascii="Cambria Math" w:eastAsiaTheme="minorEastAsia" w:hAnsi="Cambria Math" w:cs="Times New Roman"/>
            <w:sz w:val="28"/>
            <w:szCs w:val="28"/>
            <w:lang w:val="uk-UA"/>
          </w:rPr>
          <m:t>(m×n)</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де </w:t>
      </w:r>
      <m:oMath>
        <m:r>
          <w:rPr>
            <w:rFonts w:ascii="Cambria Math" w:eastAsiaTheme="minorEastAsia" w:hAnsi="Cambria Math" w:cs="Times New Roman"/>
            <w:sz w:val="28"/>
            <w:szCs w:val="28"/>
            <w:lang w:val="en-US"/>
          </w:rPr>
          <m:t>n</m:t>
        </m:r>
      </m:oMath>
      <w:r w:rsidRPr="004B6DBF">
        <w:rPr>
          <w:rFonts w:ascii="Times New Roman" w:eastAsiaTheme="minorEastAsia" w:hAnsi="Times New Roman" w:cs="Times New Roman"/>
          <w:sz w:val="28"/>
          <w:szCs w:val="28"/>
        </w:rPr>
        <w:t xml:space="preserve"> – </w:t>
      </w:r>
      <w:r w:rsidRPr="004B6DBF">
        <w:rPr>
          <w:rFonts w:ascii="Times New Roman" w:eastAsiaTheme="minorEastAsia" w:hAnsi="Times New Roman" w:cs="Times New Roman"/>
          <w:sz w:val="28"/>
          <w:szCs w:val="28"/>
          <w:lang w:val="uk-UA"/>
        </w:rPr>
        <w:t xml:space="preserve">кількість користувачів. Кожен коефіцієнт матриці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Sim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oMath>
      <w:r w:rsidRPr="004B6DBF">
        <w:rPr>
          <w:rFonts w:ascii="Times New Roman" w:eastAsiaTheme="minorEastAsia" w:hAnsi="Times New Roman" w:cs="Times New Roman"/>
          <w:sz w:val="28"/>
          <w:szCs w:val="28"/>
          <w:lang w:val="uk-UA"/>
        </w:rPr>
        <w:t xml:space="preserve"> – кількісна міра подібності між користувачами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oMath>
      <w:r w:rsidRPr="004B6DBF">
        <w:rPr>
          <w:rFonts w:ascii="Times New Roman" w:eastAsiaTheme="minorEastAsia" w:hAnsi="Times New Roman" w:cs="Times New Roman"/>
          <w:sz w:val="28"/>
          <w:szCs w:val="28"/>
          <w:lang w:val="uk-UA"/>
        </w:rPr>
        <w:t xml:space="preserve"> та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oMath>
      <w:r w:rsidRPr="004B6DBF">
        <w:rPr>
          <w:rFonts w:ascii="Times New Roman" w:eastAsiaTheme="minorEastAsia" w:hAnsi="Times New Roman" w:cs="Times New Roman"/>
          <w:sz w:val="28"/>
          <w:szCs w:val="28"/>
          <w:lang w:val="uk-UA"/>
        </w:rPr>
        <w:t>.</w:t>
      </w:r>
    </w:p>
    <w:p w:rsidR="00052793" w:rsidRPr="004B6DBF" w:rsidRDefault="00052793"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Будемо обирати для кожного користувача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oMath>
      <w:r w:rsidRPr="004B6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найбільших коефіцієнтів</w:t>
      </w:r>
      <w:r w:rsidR="00844791" w:rsidRPr="004B6DBF">
        <w:rPr>
          <w:rFonts w:ascii="Times New Roman" w:eastAsiaTheme="minorEastAsia" w:hAnsi="Times New Roman" w:cs="Times New Roman"/>
          <w:sz w:val="28"/>
          <w:szCs w:val="28"/>
          <w:lang w:val="uk-UA"/>
        </w:rPr>
        <w:t xml:space="preserve"> з матриці </w:t>
      </w:r>
      <m:oMath>
        <m:r>
          <w:rPr>
            <w:rFonts w:ascii="Cambria Math" w:eastAsiaTheme="minorEastAsia" w:hAnsi="Cambria Math" w:cs="Times New Roman"/>
            <w:sz w:val="28"/>
            <w:szCs w:val="28"/>
            <w:lang w:val="uk-UA"/>
          </w:rPr>
          <m:t>Sim</m:t>
        </m:r>
      </m:oMath>
      <w:r w:rsidR="00844791" w:rsidRPr="004B6DBF">
        <w:rPr>
          <w:rFonts w:ascii="Times New Roman" w:eastAsiaTheme="minorEastAsia" w:hAnsi="Times New Roman" w:cs="Times New Roman"/>
          <w:sz w:val="28"/>
          <w:szCs w:val="28"/>
        </w:rPr>
        <w:t xml:space="preserve">, </w:t>
      </w:r>
      <w:r w:rsidR="00844791" w:rsidRPr="004B6DBF">
        <w:rPr>
          <w:rFonts w:ascii="Times New Roman" w:eastAsiaTheme="minorEastAsia" w:hAnsi="Times New Roman" w:cs="Times New Roman"/>
          <w:sz w:val="28"/>
          <w:szCs w:val="28"/>
          <w:lang w:val="uk-UA"/>
        </w:rPr>
        <w:t xml:space="preserve">які відповідають </w:t>
      </w:r>
      <m:oMath>
        <m:r>
          <w:rPr>
            <w:rFonts w:ascii="Cambria Math" w:eastAsiaTheme="minorEastAsia" w:hAnsi="Cambria Math" w:cs="Times New Roman"/>
            <w:sz w:val="28"/>
            <w:szCs w:val="28"/>
            <w:lang w:val="uk-UA"/>
          </w:rPr>
          <m:t>k</m:t>
        </m:r>
      </m:oMath>
      <w:r w:rsidR="00844791" w:rsidRPr="004B6DBF">
        <w:rPr>
          <w:rFonts w:ascii="Times New Roman" w:eastAsiaTheme="minorEastAsia" w:hAnsi="Times New Roman" w:cs="Times New Roman"/>
          <w:sz w:val="28"/>
          <w:szCs w:val="28"/>
          <w:lang w:val="uk-UA"/>
        </w:rPr>
        <w:t xml:space="preserve"> найбільш схожим на нього користувачам. Коефіцієнт </w:t>
      </w:r>
      <m:oMath>
        <m:r>
          <w:rPr>
            <w:rFonts w:ascii="Cambria Math" w:eastAsiaTheme="minorEastAsia" w:hAnsi="Cambria Math" w:cs="Times New Roman"/>
            <w:sz w:val="28"/>
            <w:szCs w:val="28"/>
            <w:lang w:val="uk-UA"/>
          </w:rPr>
          <m:t>k</m:t>
        </m:r>
      </m:oMath>
      <w:r w:rsidR="00844791" w:rsidRPr="004B6DBF">
        <w:rPr>
          <w:rFonts w:ascii="Times New Roman" w:eastAsiaTheme="minorEastAsia" w:hAnsi="Times New Roman" w:cs="Times New Roman"/>
          <w:sz w:val="28"/>
          <w:szCs w:val="28"/>
          <w:lang w:val="uk-UA"/>
        </w:rPr>
        <w:t xml:space="preserve"> обирається довільно. </w:t>
      </w:r>
    </w:p>
    <w:p w:rsidR="00844791" w:rsidRPr="004B6DBF" w:rsidRDefault="00844791" w:rsidP="004B6DBF">
      <w:pPr>
        <w:spacing w:before="240" w:line="240" w:lineRule="auto"/>
        <w:ind w:firstLine="709"/>
        <w:contextualSpacing/>
        <w:jc w:val="both"/>
        <w:rPr>
          <w:rFonts w:ascii="Times New Roman" w:eastAsiaTheme="minorEastAsia" w:hAnsi="Times New Roman" w:cs="Times New Roman"/>
          <w:sz w:val="28"/>
          <w:szCs w:val="28"/>
        </w:rPr>
      </w:pPr>
      <w:r w:rsidRPr="004B6DBF">
        <w:rPr>
          <w:rFonts w:ascii="Times New Roman" w:eastAsiaTheme="minorEastAsia" w:hAnsi="Times New Roman" w:cs="Times New Roman"/>
          <w:sz w:val="28"/>
          <w:szCs w:val="28"/>
          <w:lang w:val="uk-UA"/>
        </w:rPr>
        <w:t xml:space="preserve">Невідомі значення елементів </w:t>
      </w:r>
      <m:oMath>
        <m:acc>
          <m:accPr>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e>
        </m:acc>
        <m:r>
          <w:rPr>
            <w:rFonts w:ascii="Cambria Math" w:eastAsiaTheme="minorEastAsia" w:hAnsi="Cambria Math" w:cs="Times New Roman"/>
            <w:sz w:val="28"/>
            <w:szCs w:val="28"/>
            <w:lang w:val="uk-UA"/>
          </w:rPr>
          <m:t xml:space="preserve">= </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e>
        </m:acc>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m:t>
                </m:r>
              </m:sub>
              <m:sup>
                <m:r>
                  <w:rPr>
                    <w:rFonts w:ascii="Cambria Math" w:eastAsiaTheme="minorEastAsia" w:hAnsi="Cambria Math" w:cs="Times New Roman"/>
                    <w:sz w:val="28"/>
                    <w:szCs w:val="28"/>
                    <w:lang w:val="uk-UA"/>
                  </w:rPr>
                  <m:t>k</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Sim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e>
                </m:acc>
                <m:r>
                  <w:rPr>
                    <w:rFonts w:ascii="Cambria Math" w:eastAsiaTheme="minorEastAsia" w:hAnsi="Cambria Math" w:cs="Times New Roman"/>
                    <w:sz w:val="28"/>
                    <w:szCs w:val="28"/>
                    <w:lang w:val="uk-UA"/>
                  </w:rPr>
                  <m:t>)</m:t>
                </m:r>
              </m:e>
            </m:nary>
          </m:num>
          <m:den>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m:t>
                </m:r>
              </m:sub>
              <m:sup>
                <m:r>
                  <w:rPr>
                    <w:rFonts w:ascii="Cambria Math" w:eastAsiaTheme="minorEastAsia" w:hAnsi="Cambria Math" w:cs="Times New Roman"/>
                    <w:sz w:val="28"/>
                    <w:szCs w:val="28"/>
                    <w:lang w:val="uk-UA"/>
                  </w:rPr>
                  <m:t>k</m:t>
                </m:r>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Sim</m:t>
                    </m:r>
                  </m:e>
                  <m: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m:t>
                        </m:r>
                      </m:sub>
                    </m:sSub>
                  </m:sub>
                </m:sSub>
                <m:r>
                  <w:rPr>
                    <w:rFonts w:ascii="Cambria Math" w:eastAsiaTheme="minorEastAsia" w:hAnsi="Cambria Math" w:cs="Times New Roman"/>
                    <w:sz w:val="28"/>
                    <w:szCs w:val="28"/>
                    <w:lang w:val="uk-UA"/>
                  </w:rPr>
                  <m:t>|</m:t>
                </m:r>
              </m:e>
            </m:nary>
          </m:den>
        </m:f>
        <m:r>
          <w:rPr>
            <w:rFonts w:ascii="Cambria Math" w:eastAsiaTheme="minorEastAsia" w:hAnsi="Cambria Math" w:cs="Times New Roman"/>
            <w:sz w:val="28"/>
            <w:szCs w:val="28"/>
            <w:lang w:val="uk-UA"/>
          </w:rPr>
          <m:t>,</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j,p</m:t>
            </m:r>
          </m:sub>
        </m:sSub>
      </m:oMath>
      <w:r w:rsidRPr="004B6DBF">
        <w:rPr>
          <w:rFonts w:ascii="Times New Roman" w:eastAsiaTheme="minorEastAsia" w:hAnsi="Times New Roman" w:cs="Times New Roman"/>
          <w:sz w:val="28"/>
          <w:szCs w:val="28"/>
        </w:rPr>
        <w:t xml:space="preserve"> – </w:t>
      </w:r>
      <w:r w:rsidRPr="004B6DBF">
        <w:rPr>
          <w:rFonts w:ascii="Times New Roman" w:eastAsiaTheme="minorEastAsia" w:hAnsi="Times New Roman" w:cs="Times New Roman"/>
          <w:sz w:val="28"/>
          <w:szCs w:val="28"/>
          <w:lang w:val="uk-UA"/>
        </w:rPr>
        <w:t xml:space="preserve">значення точки </w:t>
      </w:r>
      <m:oMath>
        <m:r>
          <w:rPr>
            <w:rFonts w:ascii="Cambria Math" w:eastAsiaTheme="minorEastAsia" w:hAnsi="Cambria Math" w:cs="Times New Roman"/>
            <w:sz w:val="28"/>
            <w:szCs w:val="28"/>
            <w:lang w:val="uk-UA"/>
          </w:rPr>
          <m:t>p</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для </w:t>
      </w:r>
      <m:oMath>
        <m:r>
          <w:rPr>
            <w:rFonts w:ascii="Cambria Math" w:eastAsiaTheme="minorEastAsia" w:hAnsi="Cambria Math" w:cs="Times New Roman"/>
            <w:sz w:val="28"/>
            <w:szCs w:val="28"/>
            <w:lang w:val="uk-UA"/>
          </w:rPr>
          <m:t>k</m:t>
        </m:r>
      </m:oMath>
      <w:r w:rsidRPr="004B6DBF">
        <w:rPr>
          <w:rFonts w:ascii="Times New Roman" w:eastAsiaTheme="minorEastAsia" w:hAnsi="Times New Roman" w:cs="Times New Roman"/>
          <w:sz w:val="28"/>
          <w:szCs w:val="28"/>
        </w:rPr>
        <w:t xml:space="preserve"> </w:t>
      </w:r>
      <w:r w:rsidRPr="004B6DBF">
        <w:rPr>
          <w:rFonts w:ascii="Times New Roman" w:eastAsiaTheme="minorEastAsia" w:hAnsi="Times New Roman" w:cs="Times New Roman"/>
          <w:sz w:val="28"/>
          <w:szCs w:val="28"/>
          <w:lang w:val="uk-UA"/>
        </w:rPr>
        <w:t xml:space="preserve">найближчих сусідів користувача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m:t>
            </m:r>
          </m:sub>
        </m:sSub>
      </m:oMath>
      <w:r w:rsidRPr="004B6DBF">
        <w:rPr>
          <w:rFonts w:ascii="Times New Roman" w:eastAsiaTheme="minorEastAsia" w:hAnsi="Times New Roman" w:cs="Times New Roman"/>
          <w:sz w:val="28"/>
          <w:szCs w:val="28"/>
        </w:rPr>
        <w:t>.</w:t>
      </w:r>
    </w:p>
    <w:p w:rsidR="00A10BAA" w:rsidRPr="004B6DBF" w:rsidRDefault="00844791" w:rsidP="004B6DBF">
      <w:pPr>
        <w:pStyle w:val="a3"/>
        <w:numPr>
          <w:ilvl w:val="0"/>
          <w:numId w:val="1"/>
        </w:numPr>
        <w:spacing w:before="240" w:line="240" w:lineRule="auto"/>
        <w:ind w:left="0" w:firstLine="709"/>
        <w:jc w:val="both"/>
        <w:rPr>
          <w:rFonts w:ascii="Times New Roman" w:eastAsiaTheme="minorEastAsia" w:hAnsi="Times New Roman" w:cs="Times New Roman"/>
          <w:sz w:val="28"/>
          <w:szCs w:val="28"/>
        </w:rPr>
      </w:pPr>
      <w:r w:rsidRPr="004B6DBF">
        <w:rPr>
          <w:rFonts w:ascii="Times New Roman" w:eastAsiaTheme="minorEastAsia" w:hAnsi="Times New Roman" w:cs="Times New Roman"/>
          <w:sz w:val="28"/>
          <w:szCs w:val="28"/>
          <w:lang w:val="uk-UA"/>
        </w:rPr>
        <w:t xml:space="preserve">Оцінка точності алгоритму. </w:t>
      </w:r>
    </w:p>
    <w:p w:rsidR="00844791" w:rsidRPr="004B6DBF" w:rsidRDefault="00844791" w:rsidP="004B6DBF">
      <w:pPr>
        <w:spacing w:before="240" w:line="240" w:lineRule="auto"/>
        <w:ind w:firstLine="709"/>
        <w:contextualSpacing/>
        <w:jc w:val="both"/>
        <w:rPr>
          <w:rFonts w:ascii="Times New Roman" w:eastAsiaTheme="minorEastAsia" w:hAnsi="Times New Roman" w:cs="Times New Roman"/>
          <w:sz w:val="28"/>
          <w:szCs w:val="28"/>
        </w:rPr>
      </w:pPr>
      <w:r w:rsidRPr="004B6DBF">
        <w:rPr>
          <w:rFonts w:ascii="Times New Roman" w:eastAsiaTheme="minorEastAsia" w:hAnsi="Times New Roman" w:cs="Times New Roman"/>
          <w:sz w:val="28"/>
          <w:szCs w:val="28"/>
          <w:lang w:val="uk-UA"/>
        </w:rPr>
        <w:t xml:space="preserve">Найпоширенішим підходом для оцінювання точності алгоритму є розрахунок середньоквадратичної похибки алгоритму. </w:t>
      </w:r>
    </w:p>
    <w:p w:rsidR="00844791" w:rsidRPr="004B6DBF" w:rsidRDefault="00844791" w:rsidP="004B6DBF">
      <w:pPr>
        <w:spacing w:before="240" w:line="240" w:lineRule="auto"/>
        <w:ind w:firstLine="709"/>
        <w:contextualSpacing/>
        <w:jc w:val="both"/>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uk-UA"/>
          </w:rPr>
          <m:t xml:space="preserve">RMSE= </m:t>
        </m:r>
        <m:rad>
          <m:radPr>
            <m:degHide m:val="1"/>
            <m:ctrlPr>
              <w:rPr>
                <w:rFonts w:ascii="Cambria Math" w:eastAsiaTheme="minorEastAsia" w:hAnsi="Cambria Math" w:cs="Times New Roman"/>
                <w:i/>
                <w:sz w:val="28"/>
                <w:szCs w:val="28"/>
                <w:lang w:val="uk-UA"/>
              </w:rPr>
            </m:ctrlPr>
          </m:radPr>
          <m:deg/>
          <m:e>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m:t>
                </m:r>
              </m:num>
              <m:den>
                <m:r>
                  <w:rPr>
                    <w:rFonts w:ascii="Cambria Math" w:eastAsiaTheme="minorEastAsia" w:hAnsi="Cambria Math" w:cs="Times New Roman"/>
                    <w:sz w:val="28"/>
                    <w:szCs w:val="28"/>
                    <w:lang w:val="uk-UA"/>
                  </w:rPr>
                  <m:t>mn</m:t>
                </m:r>
              </m:den>
            </m:f>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i=1</m:t>
                </m:r>
              </m:sub>
              <m:sup>
                <m:r>
                  <w:rPr>
                    <w:rFonts w:ascii="Cambria Math" w:eastAsiaTheme="minorEastAsia" w:hAnsi="Cambria Math" w:cs="Times New Roman"/>
                    <w:sz w:val="28"/>
                    <w:szCs w:val="28"/>
                    <w:lang w:val="uk-UA"/>
                  </w:rPr>
                  <m:t>n</m:t>
                </m:r>
              </m:sup>
              <m:e>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b</m:t>
                    </m:r>
                  </m:sup>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m:t>
                        </m:r>
                        <m:acc>
                          <m:accPr>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e>
                        </m:acc>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i,p</m:t>
                            </m:r>
                          </m:sub>
                        </m:sSub>
                        <m:r>
                          <w:rPr>
                            <w:rFonts w:ascii="Cambria Math" w:eastAsiaTheme="minorEastAsia" w:hAnsi="Cambria Math" w:cs="Times New Roman"/>
                            <w:sz w:val="28"/>
                            <w:szCs w:val="28"/>
                            <w:lang w:val="uk-UA"/>
                          </w:rPr>
                          <m:t>)</m:t>
                        </m:r>
                      </m:e>
                      <m:sup>
                        <m:r>
                          <w:rPr>
                            <w:rFonts w:ascii="Cambria Math" w:eastAsiaTheme="minorEastAsia" w:hAnsi="Cambria Math" w:cs="Times New Roman"/>
                            <w:sz w:val="28"/>
                            <w:szCs w:val="28"/>
                            <w:lang w:val="uk-UA"/>
                          </w:rPr>
                          <m:t>2</m:t>
                        </m:r>
                      </m:sup>
                    </m:sSup>
                  </m:e>
                </m:nary>
              </m:e>
            </m:nary>
          </m:e>
        </m:rad>
      </m:oMath>
      <w:r w:rsidR="00A10BAA" w:rsidRPr="004B6DBF">
        <w:rPr>
          <w:rFonts w:ascii="Times New Roman" w:eastAsiaTheme="minorEastAsia" w:hAnsi="Times New Roman" w:cs="Times New Roman"/>
          <w:sz w:val="28"/>
          <w:szCs w:val="28"/>
          <w:lang w:val="uk-UA"/>
        </w:rPr>
        <w:t xml:space="preserve">, 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 xml:space="preserve">i,p </m:t>
            </m:r>
          </m:sub>
        </m:sSub>
      </m:oMath>
      <w:r w:rsidR="00A10BAA" w:rsidRPr="004B6DBF">
        <w:rPr>
          <w:rFonts w:ascii="Times New Roman" w:eastAsiaTheme="minorEastAsia" w:hAnsi="Times New Roman" w:cs="Times New Roman"/>
          <w:sz w:val="28"/>
          <w:szCs w:val="28"/>
        </w:rPr>
        <w:t xml:space="preserve">– </w:t>
      </w:r>
      <w:r w:rsidR="00A10BAA" w:rsidRPr="004B6DBF">
        <w:rPr>
          <w:rFonts w:ascii="Times New Roman" w:eastAsiaTheme="minorEastAsia" w:hAnsi="Times New Roman" w:cs="Times New Roman"/>
          <w:sz w:val="28"/>
          <w:szCs w:val="28"/>
          <w:lang w:val="uk-UA"/>
        </w:rPr>
        <w:t xml:space="preserve">множина відомих точок користувачів, а </w:t>
      </w:r>
      <m:oMath>
        <m:acc>
          <m:accPr>
            <m:ctrlPr>
              <w:rPr>
                <w:rFonts w:ascii="Cambria Math" w:eastAsiaTheme="minorEastAsia" w:hAnsi="Cambria Math" w:cs="Times New Roman"/>
                <w:i/>
                <w:sz w:val="28"/>
                <w:szCs w:val="28"/>
                <w:lang w:val="uk-UA"/>
              </w:rPr>
            </m:ctrlPr>
          </m:acc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i,p</m:t>
                </m:r>
              </m:sub>
            </m:sSub>
          </m:e>
        </m:acc>
      </m:oMath>
      <w:r w:rsidR="00A10BAA" w:rsidRPr="004B6DBF">
        <w:rPr>
          <w:rFonts w:ascii="Times New Roman" w:eastAsiaTheme="minorEastAsia" w:hAnsi="Times New Roman" w:cs="Times New Roman"/>
          <w:sz w:val="28"/>
          <w:szCs w:val="28"/>
        </w:rPr>
        <w:t xml:space="preserve"> – </w:t>
      </w:r>
      <w:r w:rsidR="00A10BAA" w:rsidRPr="004B6DBF">
        <w:rPr>
          <w:rFonts w:ascii="Times New Roman" w:eastAsiaTheme="minorEastAsia" w:hAnsi="Times New Roman" w:cs="Times New Roman"/>
          <w:sz w:val="28"/>
          <w:szCs w:val="28"/>
          <w:lang w:val="uk-UA"/>
        </w:rPr>
        <w:t xml:space="preserve">множина наближених оцінок відповідно відомих точок. </w:t>
      </w:r>
    </w:p>
    <w:p w:rsidR="00A10BAA" w:rsidRPr="004B6DBF" w:rsidRDefault="00A10BAA" w:rsidP="00E054FA">
      <w:pPr>
        <w:pStyle w:val="a3"/>
        <w:numPr>
          <w:ilvl w:val="0"/>
          <w:numId w:val="1"/>
        </w:numPr>
        <w:spacing w:before="240" w:line="240" w:lineRule="auto"/>
        <w:ind w:left="0" w:firstLine="709"/>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 xml:space="preserve">Використовуючи коефіцієнти </w:t>
      </w:r>
      <w:proofErr w:type="spellStart"/>
      <w:r w:rsidRPr="004B6DBF">
        <w:rPr>
          <w:rFonts w:ascii="Times New Roman" w:eastAsiaTheme="minorEastAsia" w:hAnsi="Times New Roman" w:cs="Times New Roman"/>
          <w:sz w:val="28"/>
          <w:szCs w:val="28"/>
          <w:lang w:val="uk-UA"/>
        </w:rPr>
        <w:t>Пірсона</w:t>
      </w:r>
      <w:proofErr w:type="spellEnd"/>
      <w:r w:rsidRPr="004B6DBF">
        <w:rPr>
          <w:rFonts w:ascii="Times New Roman" w:eastAsiaTheme="minorEastAsia" w:hAnsi="Times New Roman" w:cs="Times New Roman"/>
          <w:sz w:val="28"/>
          <w:szCs w:val="28"/>
          <w:lang w:val="uk-UA"/>
        </w:rPr>
        <w:t xml:space="preserve"> і Спірмена, було отримані наступні значення середньоквадратичної похибки:</w:t>
      </w:r>
    </w:p>
    <w:p w:rsidR="00A10BAA" w:rsidRPr="004B6DBF" w:rsidRDefault="00A10BAA"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ab/>
      </w:r>
    </w:p>
    <w:tbl>
      <w:tblPr>
        <w:tblStyle w:val="a5"/>
        <w:tblW w:w="0" w:type="auto"/>
        <w:tblLook w:val="04A0" w:firstRow="1" w:lastRow="0" w:firstColumn="1" w:lastColumn="0" w:noHBand="0" w:noVBand="1"/>
      </w:tblPr>
      <w:tblGrid>
        <w:gridCol w:w="3115"/>
        <w:gridCol w:w="3115"/>
        <w:gridCol w:w="3115"/>
      </w:tblGrid>
      <w:tr w:rsidR="00A10BAA" w:rsidRPr="004B6DBF" w:rsidTr="00A10BAA">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Експеримент</w:t>
            </w: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КК Пірсона</w:t>
            </w: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КК Спірмена</w:t>
            </w:r>
          </w:p>
        </w:tc>
      </w:tr>
      <w:tr w:rsidR="00A10BAA" w:rsidRPr="004B6DBF" w:rsidTr="00A10BAA">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t>1</w:t>
            </w: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r>
      <w:tr w:rsidR="00A10BAA" w:rsidRPr="004B6DBF" w:rsidTr="00A10BAA">
        <w:tc>
          <w:tcPr>
            <w:tcW w:w="3115" w:type="dxa"/>
          </w:tcPr>
          <w:p w:rsidR="00A10BAA" w:rsidRPr="004B6DBF" w:rsidRDefault="004B6DBF" w:rsidP="004B6DBF">
            <w:pPr>
              <w:spacing w:before="240"/>
              <w:ind w:firstLine="709"/>
              <w:contextualSpacing/>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2</w:t>
            </w: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r>
      <w:tr w:rsidR="00A10BAA" w:rsidRPr="004B6DBF" w:rsidTr="00A10BAA">
        <w:tc>
          <w:tcPr>
            <w:tcW w:w="3115" w:type="dxa"/>
          </w:tcPr>
          <w:p w:rsidR="00A10BAA" w:rsidRPr="004B6DBF" w:rsidRDefault="004B6DBF" w:rsidP="004B6DBF">
            <w:pPr>
              <w:spacing w:before="240"/>
              <w:ind w:firstLine="709"/>
              <w:contextualSpacing/>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3</w:t>
            </w: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c>
          <w:tcPr>
            <w:tcW w:w="3115" w:type="dxa"/>
          </w:tcPr>
          <w:p w:rsidR="00A10BAA" w:rsidRPr="004B6DBF" w:rsidRDefault="00A10BAA" w:rsidP="004B6DBF">
            <w:pPr>
              <w:spacing w:before="240"/>
              <w:ind w:firstLine="709"/>
              <w:contextualSpacing/>
              <w:jc w:val="center"/>
              <w:rPr>
                <w:rFonts w:ascii="Times New Roman" w:eastAsiaTheme="minorEastAsia" w:hAnsi="Times New Roman" w:cs="Times New Roman"/>
                <w:sz w:val="28"/>
                <w:szCs w:val="28"/>
                <w:lang w:val="uk-UA"/>
              </w:rPr>
            </w:pPr>
          </w:p>
        </w:tc>
      </w:tr>
    </w:tbl>
    <w:p w:rsidR="00A10BAA" w:rsidRPr="004B6DBF" w:rsidRDefault="00A10BAA" w:rsidP="004B6DBF">
      <w:pPr>
        <w:spacing w:before="240" w:line="240" w:lineRule="auto"/>
        <w:ind w:firstLine="709"/>
        <w:contextualSpacing/>
        <w:jc w:val="both"/>
        <w:rPr>
          <w:rFonts w:ascii="Times New Roman" w:eastAsiaTheme="minorEastAsia" w:hAnsi="Times New Roman" w:cs="Times New Roman"/>
          <w:sz w:val="28"/>
          <w:szCs w:val="28"/>
          <w:lang w:val="uk-UA"/>
        </w:rPr>
      </w:pPr>
      <w:r w:rsidRPr="004B6DBF">
        <w:rPr>
          <w:rFonts w:ascii="Times New Roman" w:eastAsiaTheme="minorEastAsia" w:hAnsi="Times New Roman" w:cs="Times New Roman"/>
          <w:sz w:val="28"/>
          <w:szCs w:val="28"/>
          <w:lang w:val="uk-UA"/>
        </w:rPr>
        <w:lastRenderedPageBreak/>
        <w:t xml:space="preserve">Для порівняння двух реалізацій методу порівняємо значення середньоквадратичних помилок цих реалізацій. Для цього використаємо критерій Стьюдента про рівність середніх при невідомих дисперсіях. Право на використання критерія Стьюдента нам надає центальна гранична теорема, котра говорить, що середнє значення випадковохої величини, отриманої з будь-якого розподілу, має </w:t>
      </w:r>
      <w:r w:rsidR="0041746E" w:rsidRPr="004B6DBF">
        <w:rPr>
          <w:rFonts w:ascii="Times New Roman" w:eastAsiaTheme="minorEastAsia" w:hAnsi="Times New Roman" w:cs="Times New Roman"/>
          <w:sz w:val="28"/>
          <w:szCs w:val="28"/>
          <w:lang w:val="uk-UA"/>
        </w:rPr>
        <w:t xml:space="preserve">нормальний розподіл. </w:t>
      </w:r>
    </w:p>
    <w:p w:rsidR="0041746E" w:rsidRPr="004B6DBF" w:rsidRDefault="0041746E" w:rsidP="004B6DBF">
      <w:pPr>
        <w:spacing w:before="240" w:line="240" w:lineRule="auto"/>
        <w:ind w:firstLine="709"/>
        <w:contextualSpacing/>
        <w:jc w:val="both"/>
        <w:rPr>
          <w:rFonts w:ascii="Times New Roman" w:eastAsiaTheme="minorEastAsia" w:hAnsi="Times New Roman" w:cs="Times New Roman"/>
          <w:sz w:val="28"/>
          <w:szCs w:val="28"/>
          <w:lang w:val="uk-UA"/>
        </w:rPr>
      </w:pPr>
      <w:bookmarkStart w:id="0" w:name="_GoBack"/>
      <w:bookmarkEnd w:id="0"/>
    </w:p>
    <w:p w:rsidR="006B50C8" w:rsidRPr="004B6DBF" w:rsidRDefault="006B50C8" w:rsidP="004B6DBF">
      <w:pPr>
        <w:spacing w:before="240" w:line="240" w:lineRule="auto"/>
        <w:ind w:firstLine="709"/>
        <w:contextualSpacing/>
        <w:jc w:val="both"/>
        <w:rPr>
          <w:rFonts w:ascii="Times New Roman" w:eastAsiaTheme="minorEastAsia" w:hAnsi="Times New Roman" w:cs="Times New Roman"/>
          <w:sz w:val="28"/>
          <w:szCs w:val="28"/>
          <w:lang w:val="uk-UA"/>
        </w:rPr>
      </w:pPr>
    </w:p>
    <w:p w:rsidR="006B50C8" w:rsidRPr="004B6DBF" w:rsidRDefault="006B50C8" w:rsidP="004B6DBF">
      <w:pPr>
        <w:pStyle w:val="a3"/>
        <w:spacing w:before="240" w:line="240" w:lineRule="auto"/>
        <w:ind w:left="0" w:firstLine="709"/>
        <w:jc w:val="both"/>
        <w:rPr>
          <w:rFonts w:ascii="Times New Roman" w:eastAsiaTheme="minorEastAsia" w:hAnsi="Times New Roman" w:cs="Times New Roman"/>
          <w:sz w:val="28"/>
          <w:szCs w:val="28"/>
          <w:lang w:val="uk-UA"/>
        </w:rPr>
      </w:pPr>
    </w:p>
    <w:p w:rsidR="001E75C4" w:rsidRPr="004B6DBF" w:rsidRDefault="001E75C4" w:rsidP="004B6DBF">
      <w:pPr>
        <w:spacing w:before="240" w:line="240" w:lineRule="auto"/>
        <w:ind w:firstLine="709"/>
        <w:contextualSpacing/>
        <w:rPr>
          <w:rFonts w:ascii="Times New Roman" w:hAnsi="Times New Roman" w:cs="Times New Roman"/>
          <w:sz w:val="28"/>
          <w:szCs w:val="28"/>
          <w:lang w:val="uk-UA"/>
        </w:rPr>
      </w:pPr>
    </w:p>
    <w:sectPr w:rsidR="001E75C4" w:rsidRPr="004B6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267"/>
    <w:multiLevelType w:val="hybridMultilevel"/>
    <w:tmpl w:val="0492977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4"/>
    <w:rsid w:val="00052793"/>
    <w:rsid w:val="001E75C4"/>
    <w:rsid w:val="0041746E"/>
    <w:rsid w:val="004B6DBF"/>
    <w:rsid w:val="006B50C8"/>
    <w:rsid w:val="006B5218"/>
    <w:rsid w:val="00844791"/>
    <w:rsid w:val="00A10BAA"/>
    <w:rsid w:val="00ED0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B309"/>
  <w15:chartTrackingRefBased/>
  <w15:docId w15:val="{C50EA506-E3D5-4D08-ACF1-6EF7F86D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5C4"/>
    <w:pPr>
      <w:ind w:left="720"/>
      <w:contextualSpacing/>
    </w:pPr>
  </w:style>
  <w:style w:type="character" w:styleId="a4">
    <w:name w:val="Placeholder Text"/>
    <w:basedOn w:val="a0"/>
    <w:uiPriority w:val="99"/>
    <w:semiHidden/>
    <w:rsid w:val="001E75C4"/>
    <w:rPr>
      <w:color w:val="808080"/>
    </w:rPr>
  </w:style>
  <w:style w:type="table" w:styleId="a5">
    <w:name w:val="Table Grid"/>
    <w:basedOn w:val="a1"/>
    <w:uiPriority w:val="39"/>
    <w:rsid w:val="00A1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FC94-ADF0-4296-99FE-077922E2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Володимир Валерійович</dc:creator>
  <cp:keywords/>
  <dc:description/>
  <cp:lastModifiedBy>Yashchuk</cp:lastModifiedBy>
  <cp:revision>4</cp:revision>
  <dcterms:created xsi:type="dcterms:W3CDTF">2017-01-08T21:50:00Z</dcterms:created>
  <dcterms:modified xsi:type="dcterms:W3CDTF">2017-01-09T12:53:00Z</dcterms:modified>
</cp:coreProperties>
</file>