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6183" w:rsidRDefault="00286183" w:rsidP="00286183">
      <w:pPr>
        <w:pStyle w:val="a3"/>
        <w:spacing w:line="360" w:lineRule="auto"/>
        <w:jc w:val="center"/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БЕЛОРУССКИЙ ГОСУДАРСТВЕННЫЙ УНИВЕРСИТЕТ</w:t>
      </w:r>
    </w:p>
    <w:p w:rsidR="00286183" w:rsidRDefault="00286183" w:rsidP="00286183">
      <w:pPr>
        <w:pStyle w:val="a3"/>
        <w:spacing w:line="360" w:lineRule="auto"/>
        <w:jc w:val="center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32"/>
          <w:szCs w:val="32"/>
        </w:rPr>
        <w:t>Факультет радиофизики и компьютерных технологий</w:t>
      </w: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Отчет по л</w:t>
      </w:r>
      <w:r>
        <w:rPr>
          <w:b/>
          <w:bCs/>
          <w:color w:val="000000" w:themeColor="text1"/>
          <w:sz w:val="28"/>
          <w:szCs w:val="28"/>
        </w:rPr>
        <w:t>абораторная работа №4</w:t>
      </w:r>
      <w:r>
        <w:rPr>
          <w:b/>
          <w:bCs/>
          <w:color w:val="000000" w:themeColor="text1"/>
          <w:sz w:val="28"/>
          <w:szCs w:val="28"/>
        </w:rPr>
        <w:br/>
      </w:r>
      <w:r w:rsidRPr="00286183">
        <w:t xml:space="preserve"> </w:t>
      </w:r>
      <w:r w:rsidRPr="00286183">
        <w:rPr>
          <w:b/>
          <w:iCs/>
          <w:sz w:val="28"/>
          <w:szCs w:val="28"/>
        </w:rPr>
        <w:t>Часть 5. Анализ продаж</w:t>
      </w:r>
    </w:p>
    <w:p w:rsidR="00286183" w:rsidRDefault="00286183" w:rsidP="00286183">
      <w:pPr>
        <w:pStyle w:val="a3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</w:r>
      <w:r>
        <w:rPr>
          <w:color w:val="000000" w:themeColor="text1"/>
          <w:sz w:val="28"/>
          <w:szCs w:val="28"/>
        </w:rPr>
        <w:tab/>
        <w:t>Выполнил</w:t>
      </w:r>
      <w:r>
        <w:rPr>
          <w:color w:val="000000" w:themeColor="text1"/>
          <w:sz w:val="28"/>
          <w:szCs w:val="28"/>
        </w:rPr>
        <w:t>:</w:t>
      </w: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Студент 2 курса 9</w:t>
      </w:r>
      <w:r>
        <w:rPr>
          <w:color w:val="000000" w:themeColor="text1"/>
          <w:sz w:val="28"/>
          <w:szCs w:val="28"/>
        </w:rPr>
        <w:t xml:space="preserve"> группы</w:t>
      </w: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Рослик Олег</w:t>
      </w: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Преподаватель:</w:t>
      </w: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Серая И. Н.</w:t>
      </w: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ind w:left="5760" w:hanging="5040"/>
        <w:jc w:val="right"/>
        <w:rPr>
          <w:color w:val="000000" w:themeColor="text1"/>
          <w:sz w:val="28"/>
          <w:szCs w:val="28"/>
        </w:rPr>
      </w:pPr>
    </w:p>
    <w:p w:rsidR="00286183" w:rsidRDefault="00286183" w:rsidP="00286183">
      <w:pPr>
        <w:pStyle w:val="a3"/>
        <w:spacing w:line="360" w:lineRule="auto"/>
        <w:ind w:left="5760" w:hanging="5040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Минск, 2025</w:t>
      </w:r>
    </w:p>
    <w:p w:rsidR="00286183" w:rsidRDefault="00286183" w:rsidP="00286183">
      <w:pPr>
        <w:jc w:val="center"/>
        <w:rPr>
          <w:b/>
          <w:sz w:val="36"/>
        </w:rPr>
      </w:pPr>
      <w:r w:rsidRPr="00286183">
        <w:rPr>
          <w:b/>
          <w:sz w:val="36"/>
        </w:rPr>
        <w:lastRenderedPageBreak/>
        <w:t>Анализ</w:t>
      </w:r>
    </w:p>
    <w:p w:rsidR="00020B6C" w:rsidRPr="00020B6C" w:rsidRDefault="00020B6C" w:rsidP="00020B6C">
      <w:pPr>
        <w:jc w:val="left"/>
        <w:rPr>
          <w:b/>
          <w:sz w:val="40"/>
          <w:lang w:val="en-US"/>
        </w:rPr>
      </w:pPr>
      <w:r w:rsidRPr="00286183">
        <w:rPr>
          <w:b/>
          <w:sz w:val="36"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274320</wp:posOffset>
            </wp:positionV>
            <wp:extent cx="5940425" cy="322389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20B6C">
        <w:rPr>
          <w:b/>
          <w:sz w:val="32"/>
        </w:rPr>
        <w:t>Анализ динамики</w:t>
      </w:r>
      <w:r>
        <w:rPr>
          <w:b/>
          <w:sz w:val="32"/>
          <w:lang w:val="en-US"/>
        </w:rPr>
        <w:t>:</w:t>
      </w:r>
    </w:p>
    <w:p w:rsidR="00286183" w:rsidRPr="00286183" w:rsidRDefault="00286183" w:rsidP="00286183"/>
    <w:p w:rsidR="00020B6C" w:rsidRPr="00020B6C" w:rsidRDefault="00020B6C" w:rsidP="00020B6C">
      <w:r w:rsidRPr="00020B6C">
        <w:rPr>
          <w:bCs/>
        </w:rPr>
        <w:t>Тренд.</w:t>
      </w:r>
      <w:r w:rsidRPr="00020B6C">
        <w:t xml:space="preserve"> По визуальным оценкам общий тренд — положительный: 2022 год в среднем выше 2021. Увеличение суммарного товарооборота за год составляет ~10%.</w:t>
      </w:r>
    </w:p>
    <w:p w:rsidR="00020B6C" w:rsidRPr="00020B6C" w:rsidRDefault="00020B6C" w:rsidP="00020B6C">
      <w:r w:rsidRPr="00020B6C">
        <w:rPr>
          <w:bCs/>
        </w:rPr>
        <w:t>Сезонность.</w:t>
      </w:r>
      <w:r w:rsidRPr="00020B6C">
        <w:t xml:space="preserve"> Повторяющаяся пик-структура: каждую весну (май) наблюдается максимум продаж, затем летом — небольшой спад, осенью — умеренный подъём/равновесие и падение в ноябре. Это указывает на выраженную сезонную компоненту с максимумом в мае и минимумом в марте/ноябре.</w:t>
      </w:r>
    </w:p>
    <w:p w:rsidR="00020B6C" w:rsidRDefault="00020B6C" w:rsidP="00020B6C">
      <w:r w:rsidRPr="00020B6C">
        <w:rPr>
          <w:bCs/>
        </w:rPr>
        <w:t>Аномалии</w:t>
      </w:r>
      <w:r w:rsidRPr="00020B6C">
        <w:rPr>
          <w:b/>
          <w:bCs/>
        </w:rPr>
        <w:t>.</w:t>
      </w:r>
      <w:r w:rsidRPr="00020B6C">
        <w:t xml:space="preserve"> На графике нет резких однократных выбросов (кроме регулярных пиков), поведение месяцев </w:t>
      </w:r>
      <w:proofErr w:type="spellStart"/>
      <w:r w:rsidRPr="00020B6C">
        <w:t>похожо</w:t>
      </w:r>
      <w:proofErr w:type="spellEnd"/>
      <w:r w:rsidRPr="00020B6C">
        <w:t xml:space="preserve"> в обоих годах — это хороший знак стабильности бизнеса. Резкие падения в марте/ноябре стоит проверить на предмет внешних факторов (поставки, акции, праздники, логистика).</w:t>
      </w:r>
    </w:p>
    <w:p w:rsidR="00020B6C" w:rsidRDefault="00020B6C" w:rsidP="00020B6C">
      <w:pPr>
        <w:rPr>
          <w:b/>
          <w:sz w:val="32"/>
        </w:rPr>
      </w:pPr>
    </w:p>
    <w:p w:rsidR="00020B6C" w:rsidRDefault="00020B6C" w:rsidP="00020B6C">
      <w:pPr>
        <w:rPr>
          <w:b/>
          <w:sz w:val="32"/>
        </w:rPr>
      </w:pPr>
    </w:p>
    <w:p w:rsidR="00020B6C" w:rsidRDefault="00020B6C" w:rsidP="00020B6C">
      <w:pPr>
        <w:rPr>
          <w:b/>
          <w:sz w:val="32"/>
        </w:rPr>
      </w:pPr>
      <w:bookmarkStart w:id="0" w:name="_GoBack"/>
      <w:bookmarkEnd w:id="0"/>
    </w:p>
    <w:p w:rsidR="00020B6C" w:rsidRDefault="00020B6C" w:rsidP="00020B6C">
      <w:pPr>
        <w:rPr>
          <w:b/>
          <w:sz w:val="32"/>
        </w:rPr>
      </w:pPr>
    </w:p>
    <w:p w:rsidR="00020B6C" w:rsidRDefault="00020B6C" w:rsidP="00020B6C">
      <w:pPr>
        <w:rPr>
          <w:b/>
          <w:sz w:val="32"/>
        </w:rPr>
      </w:pPr>
    </w:p>
    <w:p w:rsidR="00020B6C" w:rsidRDefault="00020B6C" w:rsidP="00020B6C">
      <w:pPr>
        <w:rPr>
          <w:b/>
          <w:sz w:val="32"/>
        </w:rPr>
      </w:pPr>
    </w:p>
    <w:p w:rsidR="00020B6C" w:rsidRDefault="00020B6C" w:rsidP="00020B6C">
      <w:pPr>
        <w:rPr>
          <w:b/>
          <w:sz w:val="32"/>
        </w:rPr>
      </w:pPr>
    </w:p>
    <w:p w:rsidR="00020B6C" w:rsidRDefault="00020B6C" w:rsidP="00020B6C">
      <w:pPr>
        <w:rPr>
          <w:b/>
          <w:sz w:val="32"/>
        </w:rPr>
      </w:pPr>
      <w:r w:rsidRPr="00020B6C">
        <w:rPr>
          <w:b/>
          <w:sz w:val="32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309880</wp:posOffset>
            </wp:positionV>
            <wp:extent cx="5940425" cy="301434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Анализ темпов</w:t>
      </w:r>
      <w:r w:rsidRPr="00020B6C">
        <w:rPr>
          <w:b/>
          <w:sz w:val="32"/>
        </w:rPr>
        <w:t>:</w:t>
      </w:r>
    </w:p>
    <w:p w:rsidR="00020B6C" w:rsidRPr="00020B6C" w:rsidRDefault="00020B6C" w:rsidP="00020B6C">
      <w:r w:rsidRPr="00020B6C">
        <w:rPr>
          <w:bCs/>
        </w:rPr>
        <w:t>Пики роста</w:t>
      </w:r>
      <w:r w:rsidRPr="00020B6C">
        <w:rPr>
          <w:b/>
          <w:bCs/>
        </w:rPr>
        <w:t>.</w:t>
      </w:r>
      <w:r w:rsidRPr="00020B6C">
        <w:t xml:space="preserve"> Сильные месячные приросты наблюдаются весной (апрель 2021, апрель 2022) и в конце года (декабрь 2021). Пики порядка десятков процентов (на графике — до ~+100% в сильнейший месяц), что указывает либо на низкую базу предыдущего месяца, либо на масштабные маркетинговые/операционные события (акции, поступление крупной партии товара, сезонный спрос).</w:t>
      </w:r>
    </w:p>
    <w:p w:rsidR="00020B6C" w:rsidRPr="00020B6C" w:rsidRDefault="00020B6C" w:rsidP="00020B6C">
      <w:r w:rsidRPr="00020B6C">
        <w:rPr>
          <w:bCs/>
        </w:rPr>
        <w:t>Глубокие падения</w:t>
      </w:r>
      <w:r w:rsidRPr="00020B6C">
        <w:rPr>
          <w:b/>
          <w:bCs/>
        </w:rPr>
        <w:t>.</w:t>
      </w:r>
      <w:r w:rsidRPr="00020B6C">
        <w:t xml:space="preserve"> Значительные отрицательные темпы отмечены в феврале/январе и ноябре — до примерно −30…−40% в худшие месяцы. Это может быть связано с сезонным спадом, проблемами поставок, либо с редуцированием </w:t>
      </w:r>
      <w:proofErr w:type="spellStart"/>
      <w:r w:rsidRPr="00020B6C">
        <w:t>промоактивностей</w:t>
      </w:r>
      <w:proofErr w:type="spellEnd"/>
      <w:r w:rsidRPr="00020B6C">
        <w:t>.</w:t>
      </w:r>
    </w:p>
    <w:p w:rsidR="00020B6C" w:rsidRPr="00020B6C" w:rsidRDefault="00020B6C" w:rsidP="00020B6C">
      <w:r w:rsidRPr="00020B6C">
        <w:rPr>
          <w:bCs/>
        </w:rPr>
        <w:t>Волатильность</w:t>
      </w:r>
      <w:r w:rsidRPr="00020B6C">
        <w:rPr>
          <w:b/>
          <w:bCs/>
        </w:rPr>
        <w:t>.</w:t>
      </w:r>
      <w:r w:rsidRPr="00020B6C">
        <w:t xml:space="preserve"> Количество резких смен знака (+ → − → +) — высокое, что свидетельствует о нестабильности месячного потока выручки и необходимости сглаживания для выделения тренда.</w:t>
      </w:r>
    </w:p>
    <w:p w:rsidR="00020B6C" w:rsidRDefault="00020B6C" w:rsidP="00020B6C">
      <w:r w:rsidRPr="00020B6C">
        <w:rPr>
          <w:bCs/>
        </w:rPr>
        <w:t>Повторяемость</w:t>
      </w:r>
      <w:r w:rsidRPr="00020B6C">
        <w:rPr>
          <w:b/>
          <w:bCs/>
        </w:rPr>
        <w:t>.</w:t>
      </w:r>
      <w:r w:rsidRPr="00020B6C">
        <w:t xml:space="preserve"> Пики и спады наблюдаются примерно в тех же интервалах двух лет, значит присутствует элемент сезонности (весна — рост; поздняя осень/начало года — спад).</w:t>
      </w:r>
    </w:p>
    <w:p w:rsidR="00690BB1" w:rsidRDefault="00690BB1" w:rsidP="00020B6C"/>
    <w:p w:rsidR="00690BB1" w:rsidRDefault="00690BB1" w:rsidP="00020B6C"/>
    <w:p w:rsidR="00690BB1" w:rsidRDefault="00690BB1" w:rsidP="00020B6C"/>
    <w:p w:rsidR="00690BB1" w:rsidRDefault="00690BB1" w:rsidP="00020B6C"/>
    <w:p w:rsidR="00690BB1" w:rsidRDefault="00690BB1" w:rsidP="00020B6C"/>
    <w:p w:rsidR="00690BB1" w:rsidRDefault="00690BB1" w:rsidP="00020B6C"/>
    <w:p w:rsidR="00690BB1" w:rsidRPr="00690BB1" w:rsidRDefault="00690BB1" w:rsidP="00020B6C">
      <w:pPr>
        <w:rPr>
          <w:b/>
          <w:sz w:val="32"/>
        </w:rPr>
      </w:pPr>
      <w:r w:rsidRPr="00690BB1">
        <w:rPr>
          <w:b/>
          <w:sz w:val="3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381000</wp:posOffset>
            </wp:positionV>
            <wp:extent cx="5940425" cy="288036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Анализ динамики по точкам</w:t>
      </w:r>
      <w:r w:rsidRPr="00690BB1">
        <w:rPr>
          <w:b/>
          <w:sz w:val="32"/>
        </w:rPr>
        <w:t>:</w:t>
      </w:r>
    </w:p>
    <w:p w:rsidR="00690BB1" w:rsidRDefault="00690BB1" w:rsidP="00690BB1">
      <w:r w:rsidRPr="00690BB1">
        <w:t xml:space="preserve">График демонстрирует устойчивую сезонную динамику продаж по всем точкам реализации. Для большинства точек характерны синхронные пики и спады, что указывает на влияние </w:t>
      </w:r>
      <w:proofErr w:type="spellStart"/>
      <w:r w:rsidRPr="00690BB1">
        <w:t>общерыночных</w:t>
      </w:r>
      <w:proofErr w:type="spellEnd"/>
      <w:r w:rsidRPr="00690BB1">
        <w:t xml:space="preserve"> и сезонных факторов, а не на изолированные локальные события. В 2022 году уровни продаж по большинству точек выше, чем в 2021, что подтверждает общий рост товарооборота компании.</w:t>
      </w:r>
    </w:p>
    <w:p w:rsidR="00690BB1" w:rsidRPr="00690BB1" w:rsidRDefault="00690BB1" w:rsidP="00690BB1">
      <w:r w:rsidRPr="00690BB1">
        <w:rPr>
          <w:bCs/>
        </w:rPr>
        <w:t>Пики продаж</w:t>
      </w:r>
      <w:r w:rsidRPr="00690BB1">
        <w:rPr>
          <w:b/>
          <w:bCs/>
        </w:rPr>
        <w:t>:</w:t>
      </w:r>
      <w:r w:rsidRPr="00690BB1">
        <w:t xml:space="preserve"> апрель–май каждого года.</w:t>
      </w:r>
    </w:p>
    <w:p w:rsidR="00690BB1" w:rsidRPr="00690BB1" w:rsidRDefault="00690BB1" w:rsidP="00690BB1">
      <w:r w:rsidRPr="00690BB1">
        <w:rPr>
          <w:bCs/>
        </w:rPr>
        <w:t>Минимумы</w:t>
      </w:r>
      <w:r w:rsidRPr="00690BB1">
        <w:rPr>
          <w:b/>
          <w:bCs/>
        </w:rPr>
        <w:t>:</w:t>
      </w:r>
      <w:r w:rsidRPr="00690BB1">
        <w:t xml:space="preserve"> февраль–март и ноябрь.</w:t>
      </w:r>
    </w:p>
    <w:p w:rsidR="00690BB1" w:rsidRDefault="00690BB1" w:rsidP="00690BB1">
      <w:r w:rsidRPr="00690BB1">
        <w:rPr>
          <w:bCs/>
        </w:rPr>
        <w:t>Общий рост в 2022 году</w:t>
      </w:r>
      <w:r w:rsidRPr="00690BB1">
        <w:t xml:space="preserve"> по сравнению с 2021 для всех точек, что подтверждает положительный тренд.</w:t>
      </w:r>
    </w:p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/>
    <w:p w:rsidR="00690BB1" w:rsidRDefault="00690BB1" w:rsidP="00690BB1">
      <w:pPr>
        <w:rPr>
          <w:b/>
          <w:sz w:val="32"/>
        </w:rPr>
      </w:pPr>
      <w:r w:rsidRPr="00690BB1">
        <w:rPr>
          <w:b/>
          <w:sz w:val="32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358140</wp:posOffset>
            </wp:positionV>
            <wp:extent cx="5940425" cy="3122295"/>
            <wp:effectExtent l="0" t="0" r="3175" b="190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Анализ объема продаж и себестоимости</w:t>
      </w:r>
      <w:r w:rsidRPr="00690BB1">
        <w:rPr>
          <w:b/>
          <w:sz w:val="32"/>
        </w:rPr>
        <w:t>:</w:t>
      </w:r>
    </w:p>
    <w:p w:rsidR="00690BB1" w:rsidRPr="00690BB1" w:rsidRDefault="00690BB1" w:rsidP="00690BB1">
      <w:r w:rsidRPr="00690BB1">
        <w:rPr>
          <w:bCs/>
        </w:rPr>
        <w:t xml:space="preserve">Лидером по объему продаж является бренд </w:t>
      </w:r>
      <w:proofErr w:type="spellStart"/>
      <w:r w:rsidRPr="00690BB1">
        <w:rPr>
          <w:bCs/>
        </w:rPr>
        <w:t>Galosha</w:t>
      </w:r>
      <w:proofErr w:type="spellEnd"/>
      <w:r w:rsidRPr="00690BB1">
        <w:rPr>
          <w:b/>
          <w:bCs/>
        </w:rPr>
        <w:t>.</w:t>
      </w:r>
      <w:r w:rsidRPr="00690BB1">
        <w:t xml:space="preserve"> Его совокупные продажи значительно превышают показатели остальных брендов и составляют около 1,3 млрд денежных единиц. При этом себестоимость продукции </w:t>
      </w:r>
      <w:proofErr w:type="spellStart"/>
      <w:r w:rsidRPr="00690BB1">
        <w:t>Galosha</w:t>
      </w:r>
      <w:proofErr w:type="spellEnd"/>
      <w:r w:rsidRPr="00690BB1">
        <w:t xml:space="preserve"> находится на уровне около 0,6 млрд</w:t>
      </w:r>
    </w:p>
    <w:p w:rsidR="00690BB1" w:rsidRPr="00690BB1" w:rsidRDefault="00690BB1" w:rsidP="00690BB1">
      <w:r w:rsidRPr="00690BB1">
        <w:rPr>
          <w:bCs/>
        </w:rPr>
        <w:t xml:space="preserve">Второе место по объему продаж занимает бренд </w:t>
      </w:r>
      <w:proofErr w:type="spellStart"/>
      <w:r w:rsidRPr="00690BB1">
        <w:rPr>
          <w:bCs/>
        </w:rPr>
        <w:t>Asic</w:t>
      </w:r>
      <w:proofErr w:type="spellEnd"/>
      <w:r w:rsidRPr="00690BB1">
        <w:t>, с объемом продаж порядка 0,7 млрд и себестоимостью около 0,34 млрд. Соотношение продаж и себестоимости у данного бренда также указыва</w:t>
      </w:r>
      <w:r w:rsidR="004C5F3B">
        <w:t>ет на устойчивую рентабельность</w:t>
      </w:r>
    </w:p>
    <w:p w:rsidR="00690BB1" w:rsidRPr="00690BB1" w:rsidRDefault="00690BB1" w:rsidP="00690BB1">
      <w:r w:rsidRPr="00690BB1">
        <w:rPr>
          <w:bCs/>
        </w:rPr>
        <w:t xml:space="preserve">Бренды </w:t>
      </w:r>
      <w:proofErr w:type="spellStart"/>
      <w:r w:rsidRPr="00690BB1">
        <w:rPr>
          <w:bCs/>
        </w:rPr>
        <w:t>Nuke</w:t>
      </w:r>
      <w:proofErr w:type="spellEnd"/>
      <w:r w:rsidRPr="00690BB1">
        <w:rPr>
          <w:bCs/>
        </w:rPr>
        <w:t xml:space="preserve"> и </w:t>
      </w:r>
      <w:proofErr w:type="spellStart"/>
      <w:r w:rsidRPr="00690BB1">
        <w:rPr>
          <w:bCs/>
        </w:rPr>
        <w:t>Gunverse</w:t>
      </w:r>
      <w:proofErr w:type="spellEnd"/>
      <w:r w:rsidRPr="00690BB1">
        <w:rPr>
          <w:bCs/>
        </w:rPr>
        <w:t xml:space="preserve"> демонстрируют сопоставимые объемы продаж</w:t>
      </w:r>
      <w:r w:rsidRPr="00690BB1">
        <w:t xml:space="preserve">, находящиеся в диапазоне 0,45–0,5 млрд. Себестоимость при этом составляет примерно 0,2–0,23 млрд, что говорит о среднем уровне затрат и умеренной прибыльности. </w:t>
      </w:r>
    </w:p>
    <w:p w:rsidR="00690BB1" w:rsidRPr="00690BB1" w:rsidRDefault="00690BB1" w:rsidP="00690BB1">
      <w:r w:rsidRPr="00690BB1">
        <w:rPr>
          <w:bCs/>
        </w:rPr>
        <w:t xml:space="preserve">Бренд </w:t>
      </w:r>
      <w:proofErr w:type="spellStart"/>
      <w:r w:rsidRPr="00690BB1">
        <w:rPr>
          <w:bCs/>
        </w:rPr>
        <w:t>Babidas</w:t>
      </w:r>
      <w:proofErr w:type="spellEnd"/>
      <w:r w:rsidRPr="00690BB1">
        <w:rPr>
          <w:bCs/>
        </w:rPr>
        <w:t xml:space="preserve"> показывает сравнительно низкие объемы продаж</w:t>
      </w:r>
      <w:r w:rsidRPr="00690BB1">
        <w:t xml:space="preserve"> (около 0,15 млрд), при этом себестоимость составляет примерно треть от выручки.</w:t>
      </w:r>
    </w:p>
    <w:p w:rsidR="00690BB1" w:rsidRPr="00690BB1" w:rsidRDefault="00690BB1" w:rsidP="00690BB1">
      <w:r w:rsidRPr="00690BB1">
        <w:rPr>
          <w:bCs/>
        </w:rPr>
        <w:t xml:space="preserve">Наименьшие показатели зафиксированы у бренда </w:t>
      </w:r>
      <w:proofErr w:type="spellStart"/>
      <w:r w:rsidRPr="00690BB1">
        <w:rPr>
          <w:bCs/>
        </w:rPr>
        <w:t>Rubok</w:t>
      </w:r>
      <w:proofErr w:type="spellEnd"/>
      <w:r w:rsidRPr="00690BB1">
        <w:rPr>
          <w:b/>
          <w:bCs/>
        </w:rPr>
        <w:t>.</w:t>
      </w:r>
      <w:r w:rsidRPr="00690BB1">
        <w:t xml:space="preserve"> Объем продаж не превышает 0,05 млрд, а себестоимость находится на минимальном уровне. </w:t>
      </w:r>
    </w:p>
    <w:p w:rsidR="00690BB1" w:rsidRPr="00690BB1" w:rsidRDefault="00690BB1" w:rsidP="00690BB1"/>
    <w:p w:rsidR="00690BB1" w:rsidRPr="00690BB1" w:rsidRDefault="00690BB1" w:rsidP="00690BB1"/>
    <w:p w:rsidR="00286183" w:rsidRPr="00286183" w:rsidRDefault="00286183" w:rsidP="00020B6C"/>
    <w:p w:rsidR="00286183" w:rsidRPr="00286183" w:rsidRDefault="00286183" w:rsidP="00286183">
      <w:pPr>
        <w:rPr>
          <w:b/>
        </w:rPr>
      </w:pPr>
    </w:p>
    <w:p w:rsidR="00286183" w:rsidRDefault="00286183" w:rsidP="00286183">
      <w:pPr>
        <w:rPr>
          <w:b/>
        </w:rPr>
      </w:pPr>
    </w:p>
    <w:p w:rsidR="004C5F3B" w:rsidRPr="004C5F3B" w:rsidRDefault="004C5F3B" w:rsidP="00286183">
      <w:pPr>
        <w:rPr>
          <w:b/>
          <w:sz w:val="32"/>
        </w:rPr>
      </w:pPr>
      <w:r w:rsidRPr="004C5F3B">
        <w:rPr>
          <w:b/>
          <w:sz w:val="32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373380</wp:posOffset>
            </wp:positionV>
            <wp:extent cx="5940425" cy="2899410"/>
            <wp:effectExtent l="0" t="0" r="3175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32"/>
        </w:rPr>
        <w:t>Прогноз продаж</w:t>
      </w:r>
      <w:r w:rsidRPr="004C5F3B">
        <w:rPr>
          <w:b/>
          <w:sz w:val="32"/>
        </w:rPr>
        <w:t>:</w:t>
      </w:r>
    </w:p>
    <w:p w:rsidR="004C5F3B" w:rsidRPr="004C5F3B" w:rsidRDefault="004C5F3B" w:rsidP="00286183">
      <w:pPr>
        <w:rPr>
          <w:b/>
          <w:sz w:val="32"/>
        </w:rPr>
      </w:pPr>
    </w:p>
    <w:p w:rsidR="004C5F3B" w:rsidRPr="004C5F3B" w:rsidRDefault="004C5F3B" w:rsidP="004C5F3B">
      <w:r w:rsidRPr="004C5F3B">
        <w:rPr>
          <w:bCs/>
        </w:rPr>
        <w:t xml:space="preserve">Бренд </w:t>
      </w:r>
      <w:proofErr w:type="spellStart"/>
      <w:r w:rsidRPr="004C5F3B">
        <w:rPr>
          <w:bCs/>
        </w:rPr>
        <w:t>Galosha</w:t>
      </w:r>
      <w:proofErr w:type="spellEnd"/>
      <w:r w:rsidRPr="004C5F3B">
        <w:t>, являющийся лидером по объему продаж, демонстрирует умеренное снижение выручки в прогнозируемом периоде по сравнению с пиковыми значениями середины 2022 года. Модель прогнозирует стабилизацию продаж на уровне около 45–50 млн денежных единиц в месяц.</w:t>
      </w:r>
    </w:p>
    <w:p w:rsidR="004C5F3B" w:rsidRDefault="004C5F3B" w:rsidP="004C5F3B">
      <w:r w:rsidRPr="004C5F3B">
        <w:rPr>
          <w:bCs/>
        </w:rPr>
        <w:t xml:space="preserve">Продажи бренда </w:t>
      </w:r>
      <w:proofErr w:type="spellStart"/>
      <w:r w:rsidRPr="004C5F3B">
        <w:rPr>
          <w:bCs/>
        </w:rPr>
        <w:t>Asic</w:t>
      </w:r>
      <w:proofErr w:type="spellEnd"/>
      <w:r w:rsidRPr="004C5F3B">
        <w:rPr>
          <w:bCs/>
        </w:rPr>
        <w:t xml:space="preserve"> в прогнозе остаются на относительно высоком и стабильном уровне.</w:t>
      </w:r>
      <w:r w:rsidRPr="004C5F3B">
        <w:t xml:space="preserve"> После спада в конце 2022 года модель </w:t>
      </w:r>
      <w:proofErr w:type="spellStart"/>
      <w:r w:rsidRPr="004C5F3B">
        <w:t>Random</w:t>
      </w:r>
      <w:proofErr w:type="spellEnd"/>
      <w:r w:rsidRPr="004C5F3B">
        <w:t xml:space="preserve"> </w:t>
      </w:r>
      <w:proofErr w:type="spellStart"/>
      <w:r w:rsidRPr="004C5F3B">
        <w:t>Forest</w:t>
      </w:r>
      <w:proofErr w:type="spellEnd"/>
      <w:r w:rsidRPr="004C5F3B">
        <w:t xml:space="preserve"> прогнозирует восстановление выручки до значений порядка 22–28 млн. </w:t>
      </w:r>
    </w:p>
    <w:p w:rsidR="004C5F3B" w:rsidRPr="004C5F3B" w:rsidRDefault="004C5F3B" w:rsidP="004C5F3B">
      <w:r w:rsidRPr="004C5F3B">
        <w:rPr>
          <w:bCs/>
        </w:rPr>
        <w:t xml:space="preserve">Для бренда </w:t>
      </w:r>
      <w:proofErr w:type="spellStart"/>
      <w:r w:rsidRPr="004C5F3B">
        <w:rPr>
          <w:bCs/>
        </w:rPr>
        <w:t>Nuke</w:t>
      </w:r>
      <w:proofErr w:type="spellEnd"/>
      <w:r w:rsidRPr="004C5F3B">
        <w:rPr>
          <w:bCs/>
        </w:rPr>
        <w:t xml:space="preserve"> прогноз показывает плавный рост продаж.</w:t>
      </w:r>
      <w:r w:rsidRPr="004C5F3B">
        <w:t xml:space="preserve"> Ожидаемые значения выручки находятся в диапазоне 17–20 млн, что немного превышает уровни конца наблюдаемого периода. </w:t>
      </w:r>
    </w:p>
    <w:p w:rsidR="004C5F3B" w:rsidRPr="004C5F3B" w:rsidRDefault="004C5F3B" w:rsidP="004C5F3B">
      <w:r w:rsidRPr="004C5F3B">
        <w:rPr>
          <w:bCs/>
        </w:rPr>
        <w:t xml:space="preserve">Бренд </w:t>
      </w:r>
      <w:proofErr w:type="spellStart"/>
      <w:r w:rsidRPr="004C5F3B">
        <w:rPr>
          <w:bCs/>
        </w:rPr>
        <w:t>Gunverse</w:t>
      </w:r>
      <w:proofErr w:type="spellEnd"/>
      <w:r w:rsidRPr="004C5F3B">
        <w:rPr>
          <w:bCs/>
        </w:rPr>
        <w:t xml:space="preserve"> демонстрирует умеренно стабильную динамику.</w:t>
      </w:r>
      <w:r w:rsidRPr="004C5F3B">
        <w:t xml:space="preserve"> Прогнозируемые значения находятся в диапазоне 14–18 млн, без резких скачков. </w:t>
      </w:r>
    </w:p>
    <w:p w:rsidR="004C5F3B" w:rsidRDefault="004C5F3B" w:rsidP="004C5F3B">
      <w:r w:rsidRPr="004C5F3B">
        <w:rPr>
          <w:bCs/>
        </w:rPr>
        <w:t xml:space="preserve">Для брендов </w:t>
      </w:r>
      <w:proofErr w:type="spellStart"/>
      <w:r w:rsidRPr="004C5F3B">
        <w:rPr>
          <w:bCs/>
        </w:rPr>
        <w:t>Babidas</w:t>
      </w:r>
      <w:proofErr w:type="spellEnd"/>
      <w:r w:rsidRPr="004C5F3B">
        <w:rPr>
          <w:bCs/>
        </w:rPr>
        <w:t xml:space="preserve"> и </w:t>
      </w:r>
      <w:proofErr w:type="spellStart"/>
      <w:r w:rsidRPr="004C5F3B">
        <w:rPr>
          <w:bCs/>
        </w:rPr>
        <w:t>Rubok</w:t>
      </w:r>
      <w:proofErr w:type="spellEnd"/>
      <w:r w:rsidRPr="004C5F3B">
        <w:rPr>
          <w:bCs/>
        </w:rPr>
        <w:t xml:space="preserve"> модель прогнозирует сохранение низких объемов продаж.</w:t>
      </w:r>
      <w:r w:rsidRPr="004C5F3B">
        <w:t xml:space="preserve"> </w:t>
      </w:r>
      <w:proofErr w:type="spellStart"/>
      <w:r w:rsidRPr="004C5F3B">
        <w:t>Babidas</w:t>
      </w:r>
      <w:proofErr w:type="spellEnd"/>
      <w:r w:rsidRPr="004C5F3B">
        <w:t xml:space="preserve"> демонстрирует незначительный рост в начале прогнозного периода с последующей стабилизацией, тогда как </w:t>
      </w:r>
      <w:proofErr w:type="spellStart"/>
      <w:r w:rsidRPr="004C5F3B">
        <w:t>Rubok</w:t>
      </w:r>
      <w:proofErr w:type="spellEnd"/>
      <w:r w:rsidRPr="004C5F3B">
        <w:t xml:space="preserve"> остается на минимальных значениях выручки. </w:t>
      </w:r>
    </w:p>
    <w:p w:rsidR="004C5F3B" w:rsidRPr="004C5F3B" w:rsidRDefault="004C5F3B" w:rsidP="004C5F3B">
      <w:r w:rsidRPr="004C5F3B">
        <w:rPr>
          <w:bCs/>
        </w:rPr>
        <w:t>В целом прогноз подтверждает ранее выявленную структуру рынка</w:t>
      </w:r>
      <w:r w:rsidRPr="004C5F3B">
        <w:t>, где основной вклад в выручку формируют 2–3 ключевых бренда</w:t>
      </w: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Default="00226887" w:rsidP="00226887">
      <w:pPr>
        <w:jc w:val="center"/>
        <w:rPr>
          <w:b/>
          <w:sz w:val="36"/>
        </w:rPr>
      </w:pPr>
      <w:r>
        <w:rPr>
          <w:b/>
          <w:sz w:val="36"/>
        </w:rPr>
        <w:lastRenderedPageBreak/>
        <w:t>Вывод</w:t>
      </w:r>
    </w:p>
    <w:p w:rsidR="00226887" w:rsidRPr="00226887" w:rsidRDefault="00226887" w:rsidP="00226887">
      <w:r w:rsidRPr="00226887">
        <w:t>В ходе проведённого анализа данных продаж была исследована динамика товарооборота, сезонные колебания, распределение продаж по точкам реализации и брендам, а также выполнено прогнозирование будущих значений. Использование методов анализа и визуализации позволило выявить ключевые закономерности в поведении продаж.</w:t>
      </w:r>
    </w:p>
    <w:p w:rsidR="00226887" w:rsidRPr="00226887" w:rsidRDefault="00226887" w:rsidP="00226887">
      <w:r w:rsidRPr="00226887">
        <w:t xml:space="preserve">Анализ временных рядов показал наличие положительного тренда при выраженной сезонности: пики продаж приходятся на весенний период, а минимальные значения — на начало года и конец осени. Динамика продаж по точкам реализации носит синхронный характер, что указывает на преобладание </w:t>
      </w:r>
      <w:proofErr w:type="spellStart"/>
      <w:r w:rsidRPr="00226887">
        <w:t>общерыночных</w:t>
      </w:r>
      <w:proofErr w:type="spellEnd"/>
      <w:r w:rsidRPr="00226887">
        <w:t xml:space="preserve"> факторов.</w:t>
      </w:r>
    </w:p>
    <w:p w:rsidR="00226887" w:rsidRPr="00226887" w:rsidRDefault="00226887" w:rsidP="00226887">
      <w:r w:rsidRPr="00226887">
        <w:t>Сравнение брендов выявило концентрированную структуру выручки, где основную долю формируют 2–3 ключевых бренда с устойчивым соотношением выручки и себестоимости. Остальные бренды вносят незначительный вклад в общий товарооборот.</w:t>
      </w: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p w:rsidR="00286183" w:rsidRPr="00286183" w:rsidRDefault="00286183" w:rsidP="00286183">
      <w:pPr>
        <w:rPr>
          <w:b/>
        </w:rPr>
      </w:pPr>
    </w:p>
    <w:sectPr w:rsidR="00286183" w:rsidRPr="002861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0447CE"/>
    <w:multiLevelType w:val="multilevel"/>
    <w:tmpl w:val="D33E7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D964D3"/>
    <w:multiLevelType w:val="hybridMultilevel"/>
    <w:tmpl w:val="75780B14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" w15:restartNumberingAfterBreak="0">
    <w:nsid w:val="547F5BDD"/>
    <w:multiLevelType w:val="hybridMultilevel"/>
    <w:tmpl w:val="E7D6B792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FD8"/>
    <w:rsid w:val="00020B6C"/>
    <w:rsid w:val="000E6A1F"/>
    <w:rsid w:val="00226887"/>
    <w:rsid w:val="00286183"/>
    <w:rsid w:val="004C5F3B"/>
    <w:rsid w:val="00690BB1"/>
    <w:rsid w:val="00AC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37721"/>
  <w15:chartTrackingRefBased/>
  <w15:docId w15:val="{FC2C21FA-C538-4EF6-A112-B228E7EAC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6183"/>
    <w:pPr>
      <w:spacing w:line="360" w:lineRule="exact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86183"/>
    <w:pPr>
      <w:spacing w:before="100" w:after="100" w:line="240" w:lineRule="auto"/>
    </w:pPr>
    <w:rPr>
      <w:rFonts w:eastAsia="Times New Roman" w:cs="Times New Roman"/>
      <w:sz w:val="24"/>
      <w:szCs w:val="24"/>
    </w:rPr>
  </w:style>
  <w:style w:type="paragraph" w:styleId="a4">
    <w:name w:val="List Paragraph"/>
    <w:basedOn w:val="a"/>
    <w:uiPriority w:val="34"/>
    <w:qFormat/>
    <w:rsid w:val="00020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7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9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2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8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826</Words>
  <Characters>4712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Рослик</dc:creator>
  <cp:keywords/>
  <dc:description/>
  <cp:lastModifiedBy>Олег Рослик</cp:lastModifiedBy>
  <cp:revision>3</cp:revision>
  <dcterms:created xsi:type="dcterms:W3CDTF">2025-12-20T11:42:00Z</dcterms:created>
  <dcterms:modified xsi:type="dcterms:W3CDTF">2025-12-20T12:29:00Z</dcterms:modified>
</cp:coreProperties>
</file>