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Лабораторна робота №8. Дослідження якості сухих яєчних продуктів</w:t>
      </w:r>
    </w:p>
    <w:p>
      <w:pPr>
        <w:pStyle w:val="Heading2"/>
      </w:pPr>
      <w:r>
        <w:t xml:space="preserve">ОПИС</w:t>
      </w:r>
    </w:p>
    <w:p>
      <w:pPr>
        <w:pStyle w:val="FirstParagraph"/>
      </w:pPr>
      <w:r>
        <w:t xml:space="preserve">Цей документ містить детальний опис лабораторної роботи №8, присвяченої дослідженню якості сухих яєчних продуктів. В ньому представлені мета роботи, необхідні знання та вміння студентів, перелік обладнання, матеріалів та реактивів, а також сировини. Документ охоплює вимоги до якості сухих яєчних продуктів, методи їх зберігання та пакування. Детально описані процедури органолептичних та фізико-хімічних досліджень, включаючи визначення кислотності, рН та розчинності.</w:t>
      </w:r>
    </w:p>
    <w:p>
      <w:pPr>
        <w:pStyle w:val="Heading2"/>
      </w:pPr>
      <w:r>
        <w:t xml:space="preserve">ПРИКЛАД</w:t>
      </w:r>
    </w:p>
    <w:p>
      <w:pPr>
        <w:pStyle w:val="SourceCode"/>
      </w:pPr>
      <w:r>
        <w:rPr>
          <w:rStyle w:val="FunctionTok"/>
        </w:rPr>
        <w:t xml:space="preserve"># Назва документа</w:t>
      </w:r>
      <w:r>
        <w:br/>
      </w:r>
      <w:r>
        <w:br/>
      </w:r>
      <w:r>
        <w:rPr>
          <w:rStyle w:val="FunctionTok"/>
        </w:rPr>
        <w:t xml:space="preserve">## Опис</w:t>
      </w:r>
      <w:r>
        <w:br/>
      </w:r>
      <w:r>
        <w:rPr>
          <w:rStyle w:val="NormalTok"/>
        </w:rPr>
        <w:t xml:space="preserve">Тут буде детальний опис змісту документа.</w:t>
      </w:r>
      <w:r>
        <w:br/>
      </w:r>
      <w:r>
        <w:br/>
      </w:r>
      <w:r>
        <w:rPr>
          <w:rStyle w:val="FunctionTok"/>
        </w:rPr>
        <w:t xml:space="preserve">### Підрозділ</w:t>
      </w:r>
      <w:r>
        <w:br/>
      </w:r>
      <w:r>
        <w:rPr>
          <w:rStyle w:val="NormalTok"/>
        </w:rPr>
        <w:t xml:space="preserve">Додаткова інформація.</w:t>
      </w:r>
      <w:r>
        <w:br/>
      </w:r>
      <w:r>
        <w:br/>
      </w:r>
      <w:r>
        <w:rPr>
          <w:rStyle w:val="FunctionTok"/>
        </w:rPr>
        <w:t xml:space="preserve">## Таблиця</w:t>
      </w:r>
      <w:r>
        <w:br/>
      </w:r>
      <w:r>
        <w:rPr>
          <w:rStyle w:val="NormalTok"/>
        </w:rPr>
        <w:t xml:space="preserve">| Заголовок 1 | Заголовок 2 |</w:t>
      </w:r>
      <w:r>
        <w:br/>
      </w:r>
      <w:r>
        <w:rPr>
          <w:rStyle w:val="NormalTok"/>
        </w:rPr>
        <w:t xml:space="preserve">|-------------|-------------|</w:t>
      </w:r>
      <w:r>
        <w:br/>
      </w:r>
      <w:r>
        <w:rPr>
          <w:rStyle w:val="NormalTok"/>
        </w:rPr>
        <w:t xml:space="preserve">| Дані 1      | Дані 2      |</w:t>
      </w:r>
      <w:r>
        <w:br/>
      </w:r>
      <w:r>
        <w:br/>
      </w:r>
      <w:r>
        <w:rPr>
          <w:rStyle w:val="FunctionTok"/>
        </w:rPr>
        <w:t xml:space="preserve">## Список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Елемент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Елемент 2</w:t>
      </w:r>
      <w:r>
        <w:br/>
      </w:r>
      <w:r>
        <w:br/>
      </w:r>
      <w:r>
        <w:rPr>
          <w:rStyle w:val="FunctionTok"/>
        </w:rPr>
        <w:t xml:space="preserve">## Фізико-хімічні дослідження</w:t>
      </w:r>
      <w:r>
        <w:br/>
      </w:r>
      <w:r>
        <w:rPr>
          <w:rStyle w:val="FunctionTok"/>
        </w:rPr>
        <w:t xml:space="preserve">### Визначення кислотності</w:t>
      </w:r>
      <w:r>
        <w:br/>
      </w:r>
      <w:r>
        <w:rPr>
          <w:rStyle w:val="NormalTok"/>
        </w:rPr>
        <w:t xml:space="preserve">Опис методу визначення кислотності.</w:t>
      </w:r>
      <w:r>
        <w:br/>
      </w:r>
      <w:r>
        <w:br/>
      </w:r>
      <w:r>
        <w:rPr>
          <w:rStyle w:val="FunctionTok"/>
        </w:rPr>
        <w:t xml:space="preserve">#### Формула</w:t>
      </w:r>
      <w:r>
        <w:br/>
      </w:r>
      <w:r>
        <w:rPr>
          <w:rStyle w:val="NormalTok"/>
        </w:rPr>
        <w:t xml:space="preserve">$X = \frac{V_1 \cdot K \cdot 10 \cdot V}{m_0}$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Мета роботи</w:t>
      </w:r>
    </w:p>
    <w:p>
      <w:pPr>
        <w:pStyle w:val="FirstParagraph"/>
      </w:pPr>
      <w:r>
        <w:t xml:space="preserve">Визначити якість сухих яйцепродуктів за органолептичними і фізико-хімічними показниками.</w:t>
      </w:r>
    </w:p>
    <w:p>
      <w:pPr>
        <w:pStyle w:val="Heading2"/>
      </w:pPr>
      <w:r>
        <w:t xml:space="preserve">Результати проведення заняття</w:t>
      </w:r>
    </w:p>
    <w:p>
      <w:pPr>
        <w:pStyle w:val="Heading3"/>
      </w:pPr>
      <w:r>
        <w:t xml:space="preserve">Студент повинен знати:</w:t>
      </w:r>
    </w:p>
    <w:p>
      <w:pPr>
        <w:numPr>
          <w:ilvl w:val="0"/>
          <w:numId w:val="1001"/>
        </w:numPr>
        <w:pStyle w:val="Compact"/>
      </w:pPr>
      <w:r>
        <w:t xml:space="preserve">Вимоги стандарту до якісних показників сухих яєчних продуктів.</w:t>
      </w:r>
    </w:p>
    <w:p>
      <w:pPr>
        <w:numPr>
          <w:ilvl w:val="0"/>
          <w:numId w:val="1001"/>
        </w:numPr>
        <w:pStyle w:val="Compact"/>
      </w:pPr>
      <w:r>
        <w:t xml:space="preserve">Основні технологічні процеси виробництва сухих яєчних продуктів.</w:t>
      </w:r>
    </w:p>
    <w:p>
      <w:pPr>
        <w:numPr>
          <w:ilvl w:val="0"/>
          <w:numId w:val="1001"/>
        </w:numPr>
        <w:pStyle w:val="Compact"/>
      </w:pPr>
      <w:r>
        <w:t xml:space="preserve">Хімічний склад сировини, яка використовується на виробництво яєчних сухих продуктів.</w:t>
      </w:r>
    </w:p>
    <w:p>
      <w:pPr>
        <w:pStyle w:val="Heading3"/>
      </w:pPr>
      <w:r>
        <w:t xml:space="preserve">Студент повинен вміти:</w:t>
      </w:r>
    </w:p>
    <w:p>
      <w:pPr>
        <w:numPr>
          <w:ilvl w:val="0"/>
          <w:numId w:val="1002"/>
        </w:numPr>
        <w:pStyle w:val="Compact"/>
      </w:pPr>
      <w:r>
        <w:t xml:space="preserve">Провести органолептичний аналіз сухих яєчних продуктів.</w:t>
      </w:r>
    </w:p>
    <w:p>
      <w:pPr>
        <w:numPr>
          <w:ilvl w:val="0"/>
          <w:numId w:val="1002"/>
        </w:numPr>
        <w:pStyle w:val="Compact"/>
      </w:pPr>
      <w:r>
        <w:t xml:space="preserve">Виконати лабораторні дослідження та оцінити отримані результати.</w:t>
      </w:r>
    </w:p>
    <w:p>
      <w:pPr>
        <w:pStyle w:val="Heading2"/>
      </w:pPr>
      <w:r>
        <w:t xml:space="preserve">Обладнання</w:t>
      </w:r>
    </w:p>
    <w:p>
      <w:pPr>
        <w:numPr>
          <w:ilvl w:val="0"/>
          <w:numId w:val="1003"/>
        </w:numPr>
        <w:pStyle w:val="Compact"/>
      </w:pPr>
      <w:r>
        <w:t xml:space="preserve">Шафа сушильна електрична з терморегулятором</w:t>
      </w:r>
    </w:p>
    <w:p>
      <w:pPr>
        <w:numPr>
          <w:ilvl w:val="0"/>
          <w:numId w:val="1003"/>
        </w:numPr>
        <w:pStyle w:val="Compact"/>
      </w:pPr>
      <w:r>
        <w:t xml:space="preserve">Сушильний апарат САЛ</w:t>
      </w:r>
    </w:p>
    <w:p>
      <w:pPr>
        <w:numPr>
          <w:ilvl w:val="0"/>
          <w:numId w:val="1003"/>
        </w:numPr>
        <w:pStyle w:val="Compact"/>
      </w:pPr>
      <w:r>
        <w:t xml:space="preserve">Лабораторний рефрактометр</w:t>
      </w:r>
    </w:p>
    <w:p>
      <w:pPr>
        <w:numPr>
          <w:ilvl w:val="0"/>
          <w:numId w:val="1003"/>
        </w:numPr>
        <w:pStyle w:val="Compact"/>
      </w:pPr>
      <w:r>
        <w:t xml:space="preserve">Ваги лабораторні технічні</w:t>
      </w:r>
    </w:p>
    <w:p>
      <w:pPr>
        <w:numPr>
          <w:ilvl w:val="0"/>
          <w:numId w:val="1003"/>
        </w:numPr>
        <w:pStyle w:val="Compact"/>
      </w:pPr>
      <w:r>
        <w:t xml:space="preserve">Ваги лабораторні аналітичні</w:t>
      </w:r>
    </w:p>
    <w:p>
      <w:pPr>
        <w:numPr>
          <w:ilvl w:val="0"/>
          <w:numId w:val="1003"/>
        </w:numPr>
        <w:pStyle w:val="Compact"/>
      </w:pPr>
      <w:r>
        <w:t xml:space="preserve">рН-метр</w:t>
      </w:r>
    </w:p>
    <w:p>
      <w:pPr>
        <w:numPr>
          <w:ilvl w:val="0"/>
          <w:numId w:val="1003"/>
        </w:numPr>
        <w:pStyle w:val="Compact"/>
      </w:pPr>
      <w:r>
        <w:t xml:space="preserve">Центрифуга</w:t>
      </w:r>
    </w:p>
    <w:p>
      <w:pPr>
        <w:numPr>
          <w:ilvl w:val="0"/>
          <w:numId w:val="1003"/>
        </w:numPr>
        <w:pStyle w:val="Compact"/>
      </w:pPr>
      <w:r>
        <w:t xml:space="preserve">Електрична плитка</w:t>
      </w:r>
    </w:p>
    <w:p>
      <w:pPr>
        <w:numPr>
          <w:ilvl w:val="0"/>
          <w:numId w:val="1003"/>
        </w:numPr>
        <w:pStyle w:val="Compact"/>
      </w:pPr>
      <w:r>
        <w:t xml:space="preserve">Ексикатор</w:t>
      </w:r>
    </w:p>
    <w:p>
      <w:pPr>
        <w:numPr>
          <w:ilvl w:val="0"/>
          <w:numId w:val="1003"/>
        </w:numPr>
        <w:pStyle w:val="Compact"/>
      </w:pPr>
      <w:r>
        <w:t xml:space="preserve">Пінцет</w:t>
      </w:r>
    </w:p>
    <w:p>
      <w:pPr>
        <w:pStyle w:val="Heading2"/>
      </w:pPr>
      <w:r>
        <w:t xml:space="preserve">Матеріали та реактиви</w:t>
      </w:r>
    </w:p>
    <w:p>
      <w:pPr>
        <w:numPr>
          <w:ilvl w:val="0"/>
          <w:numId w:val="1004"/>
        </w:numPr>
        <w:pStyle w:val="Compact"/>
      </w:pPr>
      <w:r>
        <w:t xml:space="preserve">Бюкси металічні або стаканчики для зважування</w:t>
      </w:r>
    </w:p>
    <w:p>
      <w:pPr>
        <w:numPr>
          <w:ilvl w:val="0"/>
          <w:numId w:val="1004"/>
        </w:numPr>
        <w:pStyle w:val="Compact"/>
      </w:pPr>
      <w:r>
        <w:t xml:space="preserve">Палички скляні</w:t>
      </w:r>
    </w:p>
    <w:p>
      <w:pPr>
        <w:numPr>
          <w:ilvl w:val="0"/>
          <w:numId w:val="1004"/>
        </w:numPr>
        <w:pStyle w:val="Compact"/>
      </w:pPr>
      <w:r>
        <w:t xml:space="preserve">Колба термостійка на 500 мл</w:t>
      </w:r>
    </w:p>
    <w:p>
      <w:pPr>
        <w:numPr>
          <w:ilvl w:val="0"/>
          <w:numId w:val="1004"/>
        </w:numPr>
        <w:pStyle w:val="Compact"/>
      </w:pPr>
      <w:r>
        <w:t xml:space="preserve">Мірні колби об’ємом 250, 500 мл</w:t>
      </w:r>
    </w:p>
    <w:p>
      <w:pPr>
        <w:numPr>
          <w:ilvl w:val="0"/>
          <w:numId w:val="1004"/>
        </w:numPr>
        <w:pStyle w:val="Compact"/>
      </w:pPr>
      <w:r>
        <w:t xml:space="preserve">Папір фільтрувальний</w:t>
      </w:r>
    </w:p>
    <w:p>
      <w:pPr>
        <w:numPr>
          <w:ilvl w:val="0"/>
          <w:numId w:val="1004"/>
        </w:numPr>
        <w:pStyle w:val="Compact"/>
      </w:pPr>
      <w:r>
        <w:t xml:space="preserve">0,01 М розчин гідроксиду натрію або гідроксиду калію</w:t>
      </w:r>
    </w:p>
    <w:p>
      <w:pPr>
        <w:numPr>
          <w:ilvl w:val="0"/>
          <w:numId w:val="1004"/>
        </w:numPr>
        <w:pStyle w:val="Compact"/>
      </w:pPr>
      <w:r>
        <w:t xml:space="preserve">2 %-й розчин фенолфталеїну</w:t>
      </w:r>
    </w:p>
    <w:p>
      <w:pPr>
        <w:numPr>
          <w:ilvl w:val="0"/>
          <w:numId w:val="1004"/>
        </w:numPr>
        <w:pStyle w:val="Compact"/>
      </w:pPr>
      <w:r>
        <w:t xml:space="preserve">Сульфат натрію</w:t>
      </w:r>
    </w:p>
    <w:p>
      <w:pPr>
        <w:numPr>
          <w:ilvl w:val="0"/>
          <w:numId w:val="1004"/>
        </w:numPr>
        <w:pStyle w:val="Compact"/>
      </w:pPr>
      <w:r>
        <w:t xml:space="preserve">Сірчана кислота (густиною 1840 кг/м³)</w:t>
      </w:r>
    </w:p>
    <w:p>
      <w:pPr>
        <w:numPr>
          <w:ilvl w:val="0"/>
          <w:numId w:val="1004"/>
        </w:numPr>
        <w:pStyle w:val="Compact"/>
      </w:pPr>
      <w:r>
        <w:t xml:space="preserve">0,05 М розчин сірчаної кислоти</w:t>
      </w:r>
    </w:p>
    <w:p>
      <w:pPr>
        <w:numPr>
          <w:ilvl w:val="0"/>
          <w:numId w:val="1004"/>
        </w:numPr>
        <w:pStyle w:val="Compact"/>
      </w:pPr>
      <w:r>
        <w:t xml:space="preserve">Пероксид водню</w:t>
      </w:r>
    </w:p>
    <w:p>
      <w:pPr>
        <w:numPr>
          <w:ilvl w:val="0"/>
          <w:numId w:val="1004"/>
        </w:numPr>
        <w:pStyle w:val="Compact"/>
      </w:pPr>
      <w:r>
        <w:t xml:space="preserve">33 %-й розчин гідроксиду натрію</w:t>
      </w:r>
    </w:p>
    <w:p>
      <w:pPr>
        <w:numPr>
          <w:ilvl w:val="0"/>
          <w:numId w:val="1004"/>
        </w:numPr>
        <w:pStyle w:val="Compact"/>
      </w:pPr>
      <w:r>
        <w:t xml:space="preserve">2%-вий розчин борної кислоти</w:t>
      </w:r>
    </w:p>
    <w:p>
      <w:pPr>
        <w:numPr>
          <w:ilvl w:val="0"/>
          <w:numId w:val="1004"/>
        </w:numPr>
        <w:pStyle w:val="Compact"/>
      </w:pPr>
      <w:r>
        <w:t xml:space="preserve">Селен металевий</w:t>
      </w:r>
    </w:p>
    <w:p>
      <w:pPr>
        <w:numPr>
          <w:ilvl w:val="0"/>
          <w:numId w:val="1004"/>
        </w:numPr>
        <w:pStyle w:val="Compact"/>
      </w:pPr>
      <w:r>
        <w:t xml:space="preserve">Сірчана кислота, що містить селен (5 г селену кип’ятять в 10 мл концентрованої сірчаної кислоти до повного розчинення селену, тобто до повного знебарвлення розчину)</w:t>
      </w:r>
    </w:p>
    <w:p>
      <w:pPr>
        <w:numPr>
          <w:ilvl w:val="0"/>
          <w:numId w:val="1004"/>
        </w:numPr>
        <w:pStyle w:val="Compact"/>
      </w:pPr>
      <w:r>
        <w:t xml:space="preserve">Сульфат амонію стандартний розчин (0,236 г сульфату амонію розчиняють в 500 мл дистильованої води, 1 мл розчину містить 0,1 міліграм азоту)</w:t>
      </w:r>
    </w:p>
    <w:p>
      <w:pPr>
        <w:numPr>
          <w:ilvl w:val="0"/>
          <w:numId w:val="1004"/>
        </w:numPr>
        <w:pStyle w:val="Compact"/>
      </w:pPr>
      <w:r>
        <w:t xml:space="preserve">5 %-й розчин хлориду натрію</w:t>
      </w:r>
    </w:p>
    <w:p>
      <w:pPr>
        <w:pStyle w:val="Heading2"/>
      </w:pPr>
      <w:r>
        <w:t xml:space="preserve">Сировина</w:t>
      </w:r>
    </w:p>
    <w:p>
      <w:pPr>
        <w:numPr>
          <w:ilvl w:val="0"/>
          <w:numId w:val="1005"/>
        </w:numPr>
        <w:pStyle w:val="Compact"/>
      </w:pPr>
      <w:r>
        <w:t xml:space="preserve">Сухий яєчний порошок</w:t>
      </w:r>
    </w:p>
    <w:p>
      <w:pPr>
        <w:numPr>
          <w:ilvl w:val="0"/>
          <w:numId w:val="1005"/>
        </w:numPr>
        <w:pStyle w:val="Compact"/>
      </w:pPr>
      <w:r>
        <w:t xml:space="preserve">Сухий яєчний білок</w:t>
      </w:r>
    </w:p>
    <w:p>
      <w:pPr>
        <w:numPr>
          <w:ilvl w:val="0"/>
          <w:numId w:val="1005"/>
        </w:numPr>
        <w:pStyle w:val="Compact"/>
      </w:pPr>
      <w:r>
        <w:t xml:space="preserve">Сухий яєчний жовток</w:t>
      </w:r>
    </w:p>
    <w:p>
      <w:pPr>
        <w:pStyle w:val="FirstParagraph"/>
      </w:pPr>
      <w:r>
        <w:rPr>
          <w:iCs/>
          <w:i/>
        </w:rPr>
        <w:t xml:space="preserve">(Примітка: 10 г продукту на один дослід для фізико-хімічних досліджень, 100 г продукту на один дослід для органолептичних досліджень)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ВИМОГИ ДО ЯКОСТІ ЯЄЧНИХ СУХИХ ПРОДУКТІВ</w:t>
      </w:r>
    </w:p>
    <w:p>
      <w:pPr>
        <w:pStyle w:val="Heading3"/>
      </w:pPr>
      <w:r>
        <w:t xml:space="preserve">Види яєчних сухих продуктів</w:t>
      </w:r>
    </w:p>
    <w:p>
      <w:pPr>
        <w:pStyle w:val="FirstParagraph"/>
      </w:pPr>
      <w:r>
        <w:t xml:space="preserve">Виробляють наступні види яєчних сухих продуктів: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Яєчний порошок:</w:t>
      </w:r>
      <w:r>
        <w:t xml:space="preserve"> </w:t>
      </w:r>
      <w:r>
        <w:t xml:space="preserve">зневоднена суміш жовтка і білка.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Білок яєчний сухий.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Жовток яєчний сухий.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Омлет сухий:</w:t>
      </w:r>
      <w:r>
        <w:t xml:space="preserve"> </w:t>
      </w:r>
      <w:r>
        <w:t xml:space="preserve">суміш яєчного порошку з пастеризованим цільним або знежиреним молоком (співвідношення 1:1).</w:t>
      </w:r>
    </w:p>
    <w:p>
      <w:pPr>
        <w:pStyle w:val="Heading3"/>
      </w:pPr>
      <w:r>
        <w:t xml:space="preserve">Загальні вимоги до якості</w:t>
      </w:r>
    </w:p>
    <w:p>
      <w:pPr>
        <w:pStyle w:val="FirstParagraph"/>
      </w:pPr>
      <w:r>
        <w:t xml:space="preserve">Яєчні сухі продукти за якістю повинні задовольняти вимогам, представленим в Таблиці 1.</w:t>
      </w:r>
    </w:p>
    <w:p>
      <w:pPr>
        <w:pStyle w:val="BodyText"/>
      </w:pPr>
      <w:r>
        <w:t xml:space="preserve">Не допускаються до реалізації зволожені яєчні сухі продукти з ослизлою поверхнею, цвіллю, стороннім запахом, кольором, що різко змінився, згірклі.</w:t>
      </w:r>
    </w:p>
    <w:p>
      <w:pPr>
        <w:pStyle w:val="Heading3"/>
      </w:pPr>
      <w:r>
        <w:t xml:space="preserve">Пакування</w:t>
      </w:r>
    </w:p>
    <w:p>
      <w:pPr>
        <w:pStyle w:val="FirstParagraph"/>
      </w:pPr>
      <w:r>
        <w:t xml:space="preserve">Сухі яєчні продукти упаковують:</w:t>
      </w:r>
    </w:p>
    <w:p>
      <w:pPr>
        <w:numPr>
          <w:ilvl w:val="0"/>
          <w:numId w:val="1007"/>
        </w:numPr>
        <w:pStyle w:val="Compact"/>
      </w:pPr>
      <w:r>
        <w:t xml:space="preserve">У фанерні барабани або бочки масою нетто 25 кг.</w:t>
      </w:r>
    </w:p>
    <w:p>
      <w:pPr>
        <w:numPr>
          <w:ilvl w:val="0"/>
          <w:numId w:val="1007"/>
        </w:numPr>
        <w:pStyle w:val="Compact"/>
      </w:pPr>
      <w:r>
        <w:t xml:space="preserve">У паперові мішки чотирьох- і п’ятишарові з вкладишами із поліетиленової плівки масою нетто 20 кг.</w:t>
      </w:r>
    </w:p>
    <w:p>
      <w:pPr>
        <w:numPr>
          <w:ilvl w:val="0"/>
          <w:numId w:val="1007"/>
        </w:numPr>
        <w:pStyle w:val="Compact"/>
      </w:pPr>
      <w:r>
        <w:t xml:space="preserve">У ящики гофрованого картону з вкладишем-мішком із поліетиленової плівки масою 0,025 кг.</w:t>
      </w:r>
    </w:p>
    <w:p>
      <w:pPr>
        <w:numPr>
          <w:ilvl w:val="0"/>
          <w:numId w:val="1007"/>
        </w:numPr>
        <w:pStyle w:val="Compact"/>
      </w:pPr>
      <w:r>
        <w:t xml:space="preserve">У металеві банки масою нетто 0,25, 1,5 і 4,5 кг.</w:t>
      </w:r>
    </w:p>
    <w:p>
      <w:pPr>
        <w:pStyle w:val="Heading4"/>
      </w:pPr>
      <w:r>
        <w:t xml:space="preserve">Допустимі відхилення маси</w:t>
      </w:r>
    </w:p>
    <w:tbl>
      <w:tblPr>
        <w:tblStyle w:val="Table"/>
        <w:tblLook w:firstRow="1" w:lastRow="0" w:firstColumn="0" w:lastColumn="0" w:noHBand="0" w:noVBand="0" w:val="0020"/>
        <w:jc w:val="start"/>
        <w:tblW w:w="5000" w:type="pct"/>
        <w:tblLayout w:type="autofit"/>
      </w:tblPr>
      <w:tr>
        <w:trPr>
          <w:tblHeader w:val="true"/>
        </w:trP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Маса упаковки (кг)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Допустиме відхилення маси (%)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0,075 і 0,25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±3 %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1,5 і 4,5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±1 %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12,5 — 25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±0,5 %</w:t>
            </w:r>
          </w:p>
        </w:tc>
      </w:tr>
    </w:tbl>
    <w:p>
      <w:pPr>
        <w:pStyle w:val="Heading3"/>
      </w:pPr>
      <w:r>
        <w:t xml:space="preserve">Умови зберігання</w:t>
      </w:r>
    </w:p>
    <w:p>
      <w:pPr>
        <w:pStyle w:val="FirstParagraph"/>
      </w:pPr>
      <w:r>
        <w:t xml:space="preserve">Сухі яєчні продукти зберігають:</w:t>
      </w:r>
    </w:p>
    <w:p>
      <w:pPr>
        <w:numPr>
          <w:ilvl w:val="0"/>
          <w:numId w:val="1008"/>
        </w:numPr>
        <w:pStyle w:val="Compact"/>
      </w:pPr>
      <w:r>
        <w:t xml:space="preserve">При температурі не вище 20°С і відносній вологості повітря 65—75 % — 6 місяців.</w:t>
      </w:r>
    </w:p>
    <w:p>
      <w:pPr>
        <w:numPr>
          <w:ilvl w:val="0"/>
          <w:numId w:val="1008"/>
        </w:numPr>
        <w:pStyle w:val="Compact"/>
      </w:pPr>
      <w:r>
        <w:t xml:space="preserve">При 2°С і відносній вологості повітря 60—70% — 2 роки з дня вироблення.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ВИЗНАЧЕННЯ ЯКОСТІ ЯЄЧНИХ СУХИХ ПРОДУКТІВ</w:t>
      </w:r>
    </w:p>
    <w:p>
      <w:pPr>
        <w:pStyle w:val="Heading3"/>
      </w:pPr>
      <w:r>
        <w:t xml:space="preserve">Відбір проб</w:t>
      </w:r>
    </w:p>
    <w:p>
      <w:pPr>
        <w:pStyle w:val="FirstParagraph"/>
      </w:pPr>
      <w:r>
        <w:t xml:space="preserve">Для визначення якості яєчних сухих продуктів відбирають проби щупом від 10 % одиниць упаковки, але не менше 5 одиниць. Загальна маса середньої проби від партії повинна бути не меншою 200 г. Середні проби з’єднують, ретельно перемішують, піддають квартуванню і отримують об’єднану пробу масою 0,5 кг. Об’єднану пробу ділять на дві рівні частини: одну направляють в лабораторію для аналізу, іншу пломбують, забезпечують етикеткою і зберігають 1 місяць при температурі не вище 20 °С і відносній вологості 65—75% на випадок розбіжностей при визначенні якості яєчних сухих продуктів.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Органолептичні дослідження</w:t>
      </w:r>
    </w:p>
    <w:p>
      <w:pPr>
        <w:pStyle w:val="Heading3"/>
      </w:pPr>
      <w:r>
        <w:t xml:space="preserve">Опис</w:t>
      </w:r>
    </w:p>
    <w:p>
      <w:pPr>
        <w:pStyle w:val="FirstParagraph"/>
      </w:pPr>
      <w:r>
        <w:t xml:space="preserve">Органолептична оцінка яєчних сухих продуктів включає визначення кольору, структури, запаху і смаку. Органолептичні показники залежать від якості сировини, умов і режимних параметрів пастеризації, сушки і умов зберігання. Причиною погіршення кольору, запаху і смаку сухих продуктів можуть з’явитися реакції меланоїдиноутворень в процесі сушки і подальшого зберігання, а також окислювальні зміни ліпідних фракцій зневоднених продуктів.</w:t>
      </w:r>
    </w:p>
    <w:p>
      <w:pPr>
        <w:pStyle w:val="Heading3"/>
      </w:pPr>
      <w:r>
        <w:t xml:space="preserve">Методика визначення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Колір і структура:</w:t>
      </w:r>
      <w:r>
        <w:t xml:space="preserve"> </w:t>
      </w:r>
      <w:r>
        <w:t xml:space="preserve">Визначають при денному освітленні, звертаючи увагу на однорідність забарвлення і структуру — наявність грудочок, що легко розсипаються при натисканні.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Смак:</w:t>
      </w:r>
      <w:r>
        <w:t xml:space="preserve"> </w:t>
      </w:r>
      <w:r>
        <w:t xml:space="preserve">Визначають в охолодженому до кімнатної температури коржику, випеченому із розведеного водою сухого зразка. З цією метою 20 г яєчного порошку (яєчного білка) або 50 г сухого жовтка розтирають із 80 мл води при 20°С, ретельно перемішують і залишають для набухання 15 хв. Перед запіканням суміш знову перемішують. Яєчну суміш запікають при температурі 154±2 °С протягом 8—10 хв.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Запах:</w:t>
      </w:r>
      <w:r>
        <w:t xml:space="preserve"> </w:t>
      </w:r>
      <w:r>
        <w:t xml:space="preserve">Визначають органолептично. Для цього в склянку поміщають 20 г наважки, заливають 20 мл киплячої води. Суміш перемішують скляною паличкою і визначають запах.</w:t>
      </w:r>
    </w:p>
    <w:p>
      <w:pPr>
        <w:pStyle w:val="Heading3"/>
      </w:pPr>
      <w:r>
        <w:t xml:space="preserve">Таблиця 1. Органолептичні показники сухих яєчних продуктів</w:t>
      </w:r>
    </w:p>
    <w:tbl>
      <w:tblPr>
        <w:tblStyle w:val="Table"/>
        <w:tblLook w:firstRow="1" w:lastRow="0" w:firstColumn="0" w:lastColumn="0" w:noHBand="0" w:noVBand="0" w:val="0020"/>
        <w:jc w:val="start"/>
        <w:tblW w:w="5000" w:type="pct"/>
        <w:tblLayout w:type="autofit"/>
      </w:tblPr>
      <w:tr>
        <w:trPr>
          <w:tblHeader w:val="true"/>
        </w:trP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Показник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Характеристика Яєчного порошку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Характеристика Білка яєчного сухого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Характеристика Жовтка яєчного сухого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Колір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Від світло-жовтого до яскраво-жовтого, однорідний по всій масі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Жовтувато-білий, однорідний по всій масі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Від світло-жовтого до жовтого з оранжевим відтінком, однорідний по всій масі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Структура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Порошкоподібна, грудочки легко роздавлюються.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Порошкоподібна, без грудочок.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Порошкоподібна, грудочки легко роздавлюються.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Запах, смак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Властиві свіже висушеному, без стороннього присмаку та запаху.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Властиві висушеному, без стороннього присмаку та запаху.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Властиві свіже висушеному, без стороннього присмаку та запаху.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Кислотність, °Т, не більше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Величина рН, не менше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Вміст вологи, %, не більше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4-8,5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Розчинність (в перерахунку на сухі речовини), %: не менше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Розчинність (в перерахунку на сухі речовини), %: не більше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Вміст білкових речовин (в перерахунку на сухі речовини), %, не менше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Вміст жиру (в перерахунку на сухі речовини), %, не менше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сліди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Вміст золи (в перерахунку на сухі речовини), %, не більше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0,1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0,1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0,1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Вміст бактерій групи кишкової палички не допускається в масі продукту, г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-</w:t>
            </w:r>
          </w:p>
        </w:tc>
      </w:tr>
      <w:tr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Кількість сальмонел в 25 г продукту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Не допускається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Не допускається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  <w:insideH w:val="single" w:sz="4" w:color="000000"/>
              <w:insideV w:val="single" w:sz="4" w:color="000000"/>
            </w:tcBorders>
            <w:tcMar>
              <w:top w:w="11" w:type="dxa"/>
              <w:left w:w="11" w:type="dxa"/>
              <w:bottom w:w="11" w:type="dxa"/>
              <w:right w:w="11" w:type="dxa"/>
            </w:tcMar>
          </w:tcPr>
          <w:p>
            <w:pPr>
              <w:pStyle w:val="Compact"/>
              <w:spacing w:line="240" w:lineRule="auto" w:before="0" w:after="0"/>
              <w:ind w:firstLine="0"/>
              <w:jc w:val="center"/>
            </w:pPr>
            <w:r>
              <w:rPr>
                <w:rFonts w:ascii="Arial" w:hAnsi="Arial"/>
                <w:color w:val="000000"/>
                <w:sz w:val="24"/>
              </w:rPr>
              <w:t xml:space="preserve">Не допускається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Фізико-хімічні дослідження</w:t>
      </w:r>
    </w:p>
    <w:p>
      <w:pPr>
        <w:pStyle w:val="Heading3"/>
      </w:pPr>
      <w:r>
        <w:t xml:space="preserve">Опис</w:t>
      </w:r>
    </w:p>
    <w:p>
      <w:pPr>
        <w:pStyle w:val="FirstParagraph"/>
      </w:pPr>
      <w:r>
        <w:t xml:space="preserve">При оцінці якості яєчних сухих продуктів визначають їх кислотність, рН, розчинність і хімічний склад.</w:t>
      </w:r>
    </w:p>
    <w:p>
      <w:pPr>
        <w:pStyle w:val="Heading3"/>
      </w:pPr>
      <w:r>
        <w:t xml:space="preserve">Визначення кислотності</w:t>
      </w:r>
    </w:p>
    <w:p>
      <w:pPr>
        <w:pStyle w:val="Heading4"/>
      </w:pPr>
      <w:r>
        <w:t xml:space="preserve">Опис методу</w:t>
      </w:r>
    </w:p>
    <w:p>
      <w:pPr>
        <w:pStyle w:val="FirstParagraph"/>
      </w:pPr>
      <w:r>
        <w:t xml:space="preserve">Кислотність яєчних сухих продуктів залежить від властивостей сировини, режимних параметрів пастеризації і сушки, при якій може виділятися діоксид вуглецю. Метод заснований на нейтралізації водного розчину яєчних сухих продуктів певною кількістю лугу.</w:t>
      </w:r>
    </w:p>
    <w:p>
      <w:pPr>
        <w:pStyle w:val="Heading4"/>
      </w:pPr>
      <w:r>
        <w:t xml:space="preserve">Порядок виконання роботи</w:t>
      </w:r>
    </w:p>
    <w:p>
      <w:pPr>
        <w:numPr>
          <w:ilvl w:val="0"/>
          <w:numId w:val="1010"/>
        </w:numPr>
        <w:pStyle w:val="Compact"/>
      </w:pPr>
      <w:r>
        <w:t xml:space="preserve">5 г яєчного порошку (або 2,5 г білка сухого, або 10 г жовтка сухого, узятих з точністю до 0,001 г) розтирають в ступці з невеликою кількістю дистильованої води кімнатної температури протягом 3-5 хв.</w:t>
      </w:r>
    </w:p>
    <w:p>
      <w:pPr>
        <w:numPr>
          <w:ilvl w:val="0"/>
          <w:numId w:val="1010"/>
        </w:numPr>
        <w:pStyle w:val="Compact"/>
      </w:pPr>
      <w:r>
        <w:t xml:space="preserve">Кількісно переносять в мірну колбу місткістю 250 мл і об’єм доводять до мітки.</w:t>
      </w:r>
    </w:p>
    <w:p>
      <w:pPr>
        <w:numPr>
          <w:ilvl w:val="0"/>
          <w:numId w:val="1010"/>
        </w:numPr>
        <w:pStyle w:val="Compact"/>
      </w:pPr>
      <w:r>
        <w:t xml:space="preserve">Закривши колбу пробкою, вміст збовтують 25—30 хв. на апараті для струшування.</w:t>
      </w:r>
    </w:p>
    <w:p>
      <w:pPr>
        <w:numPr>
          <w:ilvl w:val="0"/>
          <w:numId w:val="1010"/>
        </w:numPr>
        <w:pStyle w:val="Compact"/>
      </w:pPr>
      <w:r>
        <w:t xml:space="preserve">20 мл суміші поміщають в колбу, підливають 20 мл дистильованої води, і титрують 0,01 М розчином гідроксиду натрію у присутності фенолфталеїну до появи рожево-оранжевого забарвлення.</w:t>
      </w:r>
    </w:p>
    <w:p>
      <w:pPr>
        <w:pStyle w:val="Heading4"/>
      </w:pPr>
      <w:r>
        <w:t xml:space="preserve">Розрахунок кислотності</w:t>
      </w:r>
    </w:p>
    <w:p>
      <w:pPr>
        <w:pStyle w:val="FirstParagraph"/>
      </w:pPr>
      <w:r>
        <w:t xml:space="preserve">Кислотність сухих яєчних продуктів виражають в градусах Тернера (°Т). За 1 °Т приймають кількість мл 0,1 М розчину гідроксиду натрію або калію, витрачену на титрування 100 г продукту.</w:t>
      </w:r>
    </w:p>
    <w:p>
      <w:pPr>
        <w:pStyle w:val="BodyText"/>
      </w:pPr>
      <w:r>
        <w:t xml:space="preserve">Кислотність (в °Т) обчислюють за формулою:</w:t>
      </w:r>
    </w:p>
    <w:p>
      <w:pPr>
        <w:pStyle w:val="BodyText"/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K</m:t>
            </m:r>
            <m:r>
              <m:rPr>
                <m:sty m:val="p"/>
              </m:rPr>
              <m:t>⋅</m:t>
            </m:r>
            <m:r>
              <m:t>10</m:t>
            </m:r>
            <m:r>
              <m:rPr>
                <m:sty m:val="p"/>
              </m:rPr>
              <m:t>⋅</m:t>
            </m:r>
            <m:r>
              <m:t>V</m:t>
            </m:r>
          </m:num>
          <m:den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den>
        </m:f>
      </m:oMath>
    </w:p>
    <w:p>
      <w:pPr>
        <w:pStyle w:val="BodyText"/>
      </w:pPr>
      <w:r>
        <w:t xml:space="preserve">де: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— об’єм 0,01 М розчину гідроксиду натрію або калію, що пішов на титрування, мл;</w:t>
      </w:r>
      <w:r>
        <w:t xml:space="preserve"> </w:t>
      </w:r>
      <w:r>
        <w:t xml:space="preserve">-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коефіцієнт перерахунку на точно 0,01 М розчин гідроксиду натрію або калію;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маса наважки, г;</w:t>
      </w:r>
      <w:r>
        <w:t xml:space="preserve"> </w:t>
      </w:r>
      <w:r>
        <w:t xml:space="preserve">-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— коефіцієнт для перерахунку 0,01 М розчину в 0,1 М;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- об’єм суміші, взятий для титрування, мл.</w:t>
      </w:r>
    </w:p>
    <w:p>
      <w:pPr>
        <w:pStyle w:val="BodyText"/>
      </w:pPr>
      <w:r>
        <w:t xml:space="preserve">Розбіжність між паралельними визначеннями не повинна перевищувати ±0,3 °Т.</w:t>
      </w:r>
    </w:p>
    <w:p>
      <w:pPr>
        <w:pStyle w:val="Heading3"/>
      </w:pPr>
      <w:r>
        <w:t xml:space="preserve">Визначення величини рН</w:t>
      </w:r>
    </w:p>
    <w:p>
      <w:pPr>
        <w:pStyle w:val="Heading4"/>
      </w:pPr>
      <w:r>
        <w:t xml:space="preserve">Опис методу</w:t>
      </w:r>
    </w:p>
    <w:p>
      <w:pPr>
        <w:pStyle w:val="FirstParagraph"/>
      </w:pPr>
      <w:r>
        <w:t xml:space="preserve">Величину рН визначають в 1 %-вому розчині сухого білка при 20 ± 2 °С методом потенціометра.</w:t>
      </w:r>
    </w:p>
    <w:p>
      <w:pPr>
        <w:pStyle w:val="BodyText"/>
      </w:pPr>
      <w:r>
        <w:t xml:space="preserve">Допустима розбіжність між паралельними визначеннями не повинна перевищувати ±0,2.</w:t>
      </w:r>
    </w:p>
    <w:p>
      <w:pPr>
        <w:pStyle w:val="Heading3"/>
      </w:pPr>
      <w:r>
        <w:t xml:space="preserve">Визначення розчинності</w:t>
      </w:r>
    </w:p>
    <w:p>
      <w:pPr>
        <w:pStyle w:val="Heading4"/>
      </w:pPr>
      <w:r>
        <w:t xml:space="preserve">Опис методу</w:t>
      </w:r>
    </w:p>
    <w:p>
      <w:pPr>
        <w:pStyle w:val="FirstParagraph"/>
      </w:pPr>
      <w:r>
        <w:t xml:space="preserve">Розчинність яєчних сухих продуктів залежить від ступеня змін денатурації білків і розвитку реакцій меланоїдиноутворень, що виникають в процесі сушки і зберігання висушеного продукту. Зменшення розчинності позначається на пониженні піноутворювальної здатності білків…</w:t>
      </w:r>
      <w:r>
        <w:t xml:space="preserve"> </w:t>
      </w:r>
      <w:r>
        <w:rPr>
          <w:iCs/>
          <w:i/>
        </w:rPr>
        <w:t xml:space="preserve">(текст обрізано через обмеження довжини)</w:t>
      </w:r>
    </w:p>
    <w:sectPr w:rsidR="00FC693F" w:rsidRPr="0006063C" w:rsidSect="00034616">
      <w:pgSz w:h="15840" w:w="12240"/>
      <w:pgMar w:bottom="1440" w:footer="720" w:gutter="0" w:header="720" w:left="1134" w:right="567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Arial" w:hAnsi="Arial"/>
      <w:b w:val="0"/>
      <w:i w:val="0"/>
      <w:color w:val="000000"/>
      <w:sz w:val="28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Arial" w:hAnsi="Arial"/>
      <w:b w:val="0"/>
      <w:i w:val="0"/>
      <w:color w:val="000000"/>
      <w:sz w:val="28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0" w:line="360" w:lineRule="auto"/>
      <w:ind w:firstLine="709" w:left="0" w:right="0"/>
      <w:outlineLvl w:val="0"/>
    </w:pPr>
    <w:rPr>
      <w:rFonts w:ascii="Arial" w:asciiTheme="majorHAnsi" w:cstheme="majorBidi" w:eastAsiaTheme="majorEastAsia" w:hAnsi="Arial" w:hAnsiTheme="majorHAnsi"/>
      <w:b w:val="0"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0" w:line="360" w:lineRule="auto"/>
      <w:ind w:firstLine="709" w:left="0" w:right="0"/>
      <w:outlineLvl w:val="1"/>
    </w:pPr>
    <w:rPr>
      <w:rFonts w:ascii="Arial" w:asciiTheme="majorHAnsi" w:cstheme="majorBidi" w:eastAsiaTheme="majorEastAsia" w:hAnsi="Arial" w:hAnsiTheme="majorHAnsi"/>
      <w:b w:val="0"/>
      <w:bCs/>
      <w:i w:val="0"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0" w:line="360" w:lineRule="auto"/>
      <w:ind w:firstLine="709" w:left="0" w:right="0"/>
      <w:outlineLvl w:val="2"/>
    </w:pPr>
    <w:rPr>
      <w:rFonts w:ascii="Arial" w:asciiTheme="majorHAnsi" w:cstheme="majorBidi" w:eastAsiaTheme="majorEastAsia" w:hAnsi="Arial" w:hAnsiTheme="majorHAnsi"/>
      <w:b w:val="0"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0" w:line="360" w:lineRule="auto"/>
      <w:ind w:firstLine="709" w:left="0" w:right="0"/>
      <w:outlineLvl w:val="3"/>
    </w:pPr>
    <w:rPr>
      <w:rFonts w:ascii="Arial" w:asciiTheme="majorHAnsi" w:cstheme="majorBidi" w:eastAsiaTheme="majorEastAsia" w:hAnsi="Arial" w:hAnsiTheme="majorHAnsi"/>
      <w:b w:val="0"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0" w:line="360" w:lineRule="auto"/>
      <w:ind w:firstLine="709" w:left="0" w:right="0"/>
      <w:outlineLvl w:val="4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0" w:line="360" w:lineRule="auto"/>
      <w:ind w:firstLine="709" w:left="0" w:right="0"/>
      <w:outlineLvl w:val="5"/>
    </w:pPr>
    <w:rPr>
      <w:rFonts w:ascii="Arial" w:asciiTheme="majorHAnsi" w:cstheme="majorBidi" w:eastAsiaTheme="majorEastAsia" w:hAnsi="Arial" w:hAnsiTheme="majorHAnsi"/>
      <w:b w:val="0"/>
      <w:i w:val="0"/>
      <w:iCs/>
      <w:color w:val="000000"/>
      <w:sz w:val="28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0" w:line="360" w:lineRule="auto"/>
      <w:ind w:firstLine="709" w:left="0" w:right="0"/>
      <w:outlineLvl w:val="6"/>
    </w:pPr>
    <w:rPr>
      <w:rFonts w:ascii="Arial" w:asciiTheme="majorHAnsi" w:cstheme="majorBidi" w:eastAsiaTheme="majorEastAsia" w:hAnsi="Arial" w:hAnsiTheme="majorHAnsi"/>
      <w:b w:val="0"/>
      <w:i w:val="0"/>
      <w:iCs/>
      <w:color w:val="000000"/>
      <w:sz w:val="28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0" w:line="360" w:lineRule="auto"/>
      <w:ind w:firstLine="709" w:left="0" w:right="0"/>
      <w:outlineLvl w:val="7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0" w:line="360" w:lineRule="auto"/>
      <w:ind w:firstLine="709" w:left="0" w:right="0"/>
      <w:outlineLvl w:val="8"/>
    </w:pPr>
    <w:rPr>
      <w:rFonts w:ascii="Arial" w:asciiTheme="majorHAnsi" w:cstheme="majorBidi" w:eastAsiaTheme="majorEastAsia" w:hAnsi="Arial" w:hAnsiTheme="majorHAnsi"/>
      <w:b w:val="0"/>
      <w:i w:val="0"/>
      <w:iCs/>
      <w:color w:val="000000"/>
      <w:sz w:val="28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Arial" w:hAnsi="Arial"/>
      <w:b w:val="0"/>
      <w:i w:val="0"/>
      <w:color w:val="000000"/>
      <w:sz w:val="28"/>
    </w:rPr>
  </w:style>
  <w:style w:default="1" w:styleId="TableNormal" w:type="table">
    <w:name w:val="Normal Table"/>
    <w:uiPriority w:val="99"/>
    <w:semiHidden/>
    <w:unhideWhenUsed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Arial" w:asciiTheme="majorHAnsi" w:cstheme="majorBidi" w:eastAsiaTheme="majorEastAsia" w:hAnsi="Arial" w:hAnsiTheme="majorHAnsi"/>
      <w:b w:val="0"/>
      <w:bCs/>
      <w:i w:val="0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Arial" w:asciiTheme="majorHAnsi" w:cstheme="majorBidi" w:eastAsiaTheme="majorEastAsia" w:hAnsi="Arial" w:hAnsiTheme="majorHAnsi"/>
      <w:b w:val="0"/>
      <w:bCs/>
      <w:i w:val="0"/>
      <w:color w:val="000000"/>
      <w:sz w:val="28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Arial" w:asciiTheme="majorHAnsi" w:cstheme="majorBidi" w:eastAsiaTheme="majorEastAsia" w:hAnsi="Arial" w:hAnsiTheme="majorHAnsi"/>
      <w:b w:val="0"/>
      <w:bCs/>
      <w:i w:val="0"/>
      <w:color w:val="000000"/>
      <w:sz w:val="28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0" w:before="0" w:line="360" w:lineRule="auto"/>
      <w:ind w:firstLine="709" w:left="0" w:right="0"/>
      <w:contextualSpacing/>
    </w:pPr>
    <w:rPr>
      <w:rFonts w:ascii="Arial" w:asciiTheme="majorHAnsi" w:cstheme="majorBidi" w:eastAsiaTheme="majorEastAsia" w:hAnsi="Arial" w:hAnsiTheme="majorHAnsi"/>
      <w:b w:val="0"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="Arial" w:asciiTheme="majorHAnsi" w:cstheme="majorBidi" w:eastAsiaTheme="majorEastAsia" w:hAnsi="Arial" w:hAnsiTheme="majorHAnsi"/>
      <w:b w:val="0"/>
      <w:i w:val="0"/>
      <w:color w:val="000000"/>
      <w:spacing w:val="5"/>
      <w:kern w:val="28"/>
      <w:sz w:val="2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Arial" w:asciiTheme="majorHAnsi" w:cstheme="majorBidi" w:eastAsiaTheme="majorEastAsia" w:hAnsi="Arial" w:hAnsiTheme="majorHAnsi"/>
      <w:b w:val="0"/>
      <w:i w:val="0"/>
      <w:iCs/>
      <w:color w:val="000000"/>
      <w:spacing w:val="15"/>
      <w:sz w:val="28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Arial" w:hAnsi="Arial"/>
      <w:b w:val="0"/>
      <w:i w:val="0"/>
      <w:color w:val="000000"/>
      <w:sz w:val="28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Arial" w:hAnsi="Arial"/>
      <w:b w:val="0"/>
      <w:i w:val="0"/>
      <w:color w:val="000000"/>
      <w:sz w:val="28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Arial" w:hAnsi="Arial"/>
      <w:b w:val="0"/>
      <w:i w:val="0"/>
      <w:color w:val="000000"/>
      <w:sz w:val="28"/>
      <w:szCs w:val="16"/>
    </w:rPr>
  </w:style>
  <w:style w:styleId="List" w:type="paragraph">
    <w:name w:val="List"/>
    <w:basedOn w:val="Normal"/>
    <w:uiPriority w:val="99"/>
    <w:unhideWhenUsed/>
    <w:rsid w:val="00AA1D8D"/>
    <w:p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2" w:type="paragraph">
    <w:name w:val="List 2"/>
    <w:basedOn w:val="Normal"/>
    <w:uiPriority w:val="99"/>
    <w:unhideWhenUsed/>
    <w:rsid w:val="00326F90"/>
    <w:p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3" w:type="paragraph">
    <w:name w:val="List 3"/>
    <w:basedOn w:val="Normal"/>
    <w:uiPriority w:val="99"/>
    <w:unhideWhenUsed/>
    <w:rsid w:val="00326F90"/>
    <w:p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Continue" w:type="paragraph">
    <w:name w:val="List Continue"/>
    <w:basedOn w:val="Normal"/>
    <w:uiPriority w:val="99"/>
    <w:unhideWhenUsed/>
    <w:rsid w:val="0029639D"/>
    <w:p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0" w:before="0" w:line="360" w:lineRule="auto"/>
      <w:ind w:firstLine="709" w:left="0" w:right="0"/>
      <w:contextualSpacing/>
    </w:pPr>
    <w:rPr>
      <w:rFonts w:ascii="Arial" w:hAnsi="Arial"/>
      <w:b w:val="0"/>
      <w:i w:val="0"/>
      <w:color w:val="000000"/>
      <w:sz w:val="28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Arial" w:hAnsi="Arial"/>
      <w:b w:val="0"/>
      <w:i w:val="0"/>
      <w:color w:val="000000"/>
      <w:sz w:val="2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iCs/>
      <w:color w:val="000000"/>
      <w:sz w:val="28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Arial" w:hAnsi="Arial"/>
      <w:b w:val="0"/>
      <w:i w:val="0"/>
      <w:iCs/>
      <w:color w:val="000000"/>
      <w:sz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Arial" w:asciiTheme="majorHAnsi" w:cstheme="majorBidi" w:eastAsiaTheme="majorEastAsia" w:hAnsi="Arial" w:hAnsiTheme="majorHAnsi"/>
      <w:b w:val="0"/>
      <w:bCs/>
      <w:i w:val="0"/>
      <w:iCs/>
      <w:color w:val="000000"/>
      <w:sz w:val="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Arial" w:asciiTheme="majorHAnsi" w:cstheme="majorBidi" w:eastAsiaTheme="majorEastAsia" w:hAnsi="Arial" w:hAnsiTheme="majorHAnsi"/>
      <w:b w:val="0"/>
      <w:i w:val="0"/>
      <w:iCs/>
      <w:color w:val="000000"/>
      <w:sz w:val="28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Arial" w:asciiTheme="majorHAnsi" w:cstheme="majorBidi" w:eastAsiaTheme="majorEastAsia" w:hAnsi="Arial" w:hAnsiTheme="majorHAnsi"/>
      <w:b w:val="0"/>
      <w:i w:val="0"/>
      <w:iCs/>
      <w:color w:val="000000"/>
      <w:sz w:val="28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Arial" w:asciiTheme="majorHAnsi" w:cstheme="majorBidi" w:eastAsiaTheme="majorEastAsia" w:hAnsi="Arial" w:hAnsiTheme="majorHAnsi"/>
      <w:b w:val="0"/>
      <w:i w:val="0"/>
      <w:color w:val="000000"/>
      <w:sz w:val="2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="Arial" w:asciiTheme="majorHAnsi" w:cstheme="majorBidi" w:eastAsiaTheme="majorEastAsia" w:hAnsi="Arial" w:hAnsiTheme="majorHAnsi"/>
      <w:b w:val="0"/>
      <w:i w:val="0"/>
      <w:iCs/>
      <w:color w:val="000000"/>
      <w:sz w:val="2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bCs/>
      <w:i w:val="0"/>
      <w:color w:val="000000"/>
      <w:sz w:val="2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ascii="Arial" w:hAnsi="Arial"/>
      <w:b w:val="0"/>
      <w:bCs/>
      <w:i w:val="0"/>
      <w:color w:val="000000"/>
      <w:sz w:val="28"/>
    </w:rPr>
  </w:style>
  <w:style w:styleId="Emphasis" w:type="character">
    <w:name w:val="Emphasis"/>
    <w:basedOn w:val="DefaultParagraphFont"/>
    <w:uiPriority w:val="20"/>
    <w:qFormat/>
    <w:rsid w:val="00FC693F"/>
    <w:rPr>
      <w:rFonts w:ascii="Arial" w:hAnsi="Arial"/>
      <w:b w:val="0"/>
      <w:i w:val="0"/>
      <w:iCs/>
      <w:color w:val="000000"/>
      <w:sz w:val="28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0" w:before="0" w:line="360" w:lineRule="auto"/>
      <w:ind w:firstLine="709" w:left="0" w:right="0"/>
    </w:pPr>
    <w:rPr>
      <w:rFonts w:ascii="Arial" w:hAnsi="Arial"/>
      <w:b w:val="0"/>
      <w:bCs/>
      <w:i w:val="0"/>
      <w:iCs/>
      <w:color w:val="000000"/>
      <w:sz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Arial" w:hAnsi="Arial"/>
      <w:b w:val="0"/>
      <w:bCs/>
      <w:i w:val="0"/>
      <w:iCs/>
      <w:color w:val="000000"/>
      <w:sz w:val="28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Arial" w:hAnsi="Arial"/>
      <w:b w:val="0"/>
      <w:i w:val="0"/>
      <w:iCs/>
      <w:color w:val="000000"/>
      <w:sz w:val="28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Arial" w:hAnsi="Arial"/>
      <w:b w:val="0"/>
      <w:bCs/>
      <w:i w:val="0"/>
      <w:iCs/>
      <w:color w:val="000000"/>
      <w:sz w:val="28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Arial" w:hAnsi="Arial"/>
      <w:b w:val="0"/>
      <w:i w:val="0"/>
      <w:smallCaps/>
      <w:color w:val="000000"/>
      <w:sz w:val="28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Arial" w:hAnsi="Arial"/>
      <w:b w:val="0"/>
      <w:bCs/>
      <w:i w:val="0"/>
      <w:smallCaps/>
      <w:color w:val="000000"/>
      <w:spacing w:val="5"/>
      <w:sz w:val="28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ascii="Arial" w:hAnsi="Arial"/>
      <w:b w:val="0"/>
      <w:bCs/>
      <w:i w:val="0"/>
      <w:smallCaps/>
      <w:color w:val="000000"/>
      <w:spacing w:val="5"/>
      <w:sz w:val="28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spacing w:after="0" w:before="0" w:line="360" w:lineRule="auto"/>
      <w:ind w:firstLine="709" w:left="0" w:right="0"/>
      <w:outlineLvl w:val="9"/>
    </w:pPr>
    <w:rPr>
      <w:rFonts w:ascii="Arial" w:hAnsi="Arial"/>
      <w:b w:val="0"/>
      <w:i w:val="0"/>
      <w:color w:val="000000"/>
      <w:sz w:val="28"/>
    </w:rPr>
  </w:style>
  <w:style w:styleId="TableGrid" w:type="table">
    <w:name w:val="Table Grid"/>
    <w:basedOn w:val="TableNormal"/>
    <w:uiPriority w:val="59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before="0" w:line="360" w:lineRule="auto"/>
      <w:ind w:firstLine="709" w:left="0" w:right="0"/>
    </w:pPr>
    <w:rPr>
      <w:rFonts w:ascii="Arial" w:asciiTheme="majorHAnsi" w:cstheme="majorBidi" w:eastAsiaTheme="majorEastAsia" w:hAnsi="Arial" w:hAnsiTheme="majorHAnsi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before="0" w:line="360" w:lineRule="auto"/>
      <w:ind w:firstLine="709" w:left="0" w:right="0"/>
    </w:pPr>
    <w:rPr>
      <w:rFonts w:ascii="Arial" w:hAnsi="Arial"/>
      <w:b w:val="0"/>
      <w:i w:val="0"/>
      <w:color w:val="000000"/>
      <w:sz w:val="28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2026-05-01T19:20:46Z</dcterms:created>
  <dcterms:modified xsi:type="dcterms:W3CDTF">2026-05-01T19:20:46Z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