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Лабораторна робота №8. Дослідження якості сухих яєчних продуктів</w:t>
      </w:r>
    </w:p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Визначити якість сухих яйцепродуктів за органолептичними і фізико-хімічними показниками. В результаті проведення заняття студент повинен знати вимоги стандарту до якісних показників сухих яєчних продуктів, основні технологічні процеси їх виробництва, хімічний склад сировини, а також вміти провести органолептичний аналіз, виконати лабораторні дослідження і оцінити отримані результати.</w:t>
      </w:r>
    </w:p>
    <w:p>
      <w:pPr>
        <w:pStyle w:val="Heading2"/>
      </w:pPr>
      <w:r>
        <w:t xml:space="preserve">Обладнання, матеріали та реактиви</w:t>
      </w:r>
    </w:p>
    <w:p>
      <w:pPr>
        <w:pStyle w:val="FirstParagraph"/>
      </w:pPr>
      <w:r>
        <w:rPr>
          <w:bCs/>
          <w:b/>
        </w:rPr>
        <w:t xml:space="preserve">Обладнання:</w:t>
      </w:r>
      <w:r>
        <w:t xml:space="preserve"> </w:t>
      </w:r>
      <w:r>
        <w:t xml:space="preserve">- Шафа сушильна електрична з терморегулятором</w:t>
      </w:r>
      <w:r>
        <w:t xml:space="preserve"> </w:t>
      </w:r>
      <w:r>
        <w:t xml:space="preserve">- Сушильний апарат САЛ</w:t>
      </w:r>
      <w:r>
        <w:t xml:space="preserve"> </w:t>
      </w:r>
      <w:r>
        <w:t xml:space="preserve">- Лабораторний рефрактометр</w:t>
      </w:r>
      <w:r>
        <w:t xml:space="preserve"> </w:t>
      </w:r>
      <w:r>
        <w:t xml:space="preserve">- Ваги лабораторні технічні</w:t>
      </w:r>
      <w:r>
        <w:t xml:space="preserve"> </w:t>
      </w:r>
      <w:r>
        <w:t xml:space="preserve">- Ваги лабораторні аналітичні</w:t>
      </w:r>
      <w:r>
        <w:t xml:space="preserve"> </w:t>
      </w:r>
      <w:r>
        <w:t xml:space="preserve">- рН-метр</w:t>
      </w:r>
      <w:r>
        <w:t xml:space="preserve"> </w:t>
      </w:r>
      <w:r>
        <w:t xml:space="preserve">- Центрифуга</w:t>
      </w:r>
      <w:r>
        <w:t xml:space="preserve"> </w:t>
      </w:r>
      <w:r>
        <w:t xml:space="preserve">- Електрична плитка</w:t>
      </w:r>
      <w:r>
        <w:t xml:space="preserve"> </w:t>
      </w:r>
      <w:r>
        <w:t xml:space="preserve">- Ексикатор</w:t>
      </w:r>
      <w:r>
        <w:t xml:space="preserve"> </w:t>
      </w:r>
      <w:r>
        <w:t xml:space="preserve">- Пінцет</w:t>
      </w:r>
    </w:p>
    <w:p>
      <w:pPr>
        <w:pStyle w:val="BodyText"/>
      </w:pPr>
      <w:r>
        <w:rPr>
          <w:bCs/>
          <w:b/>
        </w:rPr>
        <w:t xml:space="preserve">Матеріали та реактиви:</w:t>
      </w:r>
      <w:r>
        <w:t xml:space="preserve"> </w:t>
      </w:r>
      <w:r>
        <w:t xml:space="preserve">- Бюкси металічні або стаканчики для зважування</w:t>
      </w:r>
      <w:r>
        <w:t xml:space="preserve"> </w:t>
      </w:r>
      <w:r>
        <w:t xml:space="preserve">- Палички скляні</w:t>
      </w:r>
      <w:r>
        <w:t xml:space="preserve"> </w:t>
      </w:r>
      <w:r>
        <w:t xml:space="preserve">- Колба термостійка на 500 мл</w:t>
      </w:r>
      <w:r>
        <w:t xml:space="preserve"> </w:t>
      </w:r>
      <w:r>
        <w:t xml:space="preserve">- Мірні колби об’ємом 250, 500 мл</w:t>
      </w:r>
      <w:r>
        <w:t xml:space="preserve"> </w:t>
      </w:r>
      <w:r>
        <w:t xml:space="preserve">- Папір фільтрувальний</w:t>
      </w:r>
      <w:r>
        <w:t xml:space="preserve"> </w:t>
      </w:r>
      <w:r>
        <w:t xml:space="preserve">- 0,01 М розчин гідроксиду натрію або гідроксиду калію</w:t>
      </w:r>
      <w:r>
        <w:t xml:space="preserve"> </w:t>
      </w:r>
      <w:r>
        <w:t xml:space="preserve">- 2 %-й розчин фенолфталеїну</w:t>
      </w:r>
      <w:r>
        <w:t xml:space="preserve"> </w:t>
      </w:r>
      <w:r>
        <w:t xml:space="preserve">- Сульфат натрію</w:t>
      </w:r>
      <w:r>
        <w:t xml:space="preserve"> </w:t>
      </w:r>
      <w:r>
        <w:t xml:space="preserve">- Сірчана кислота (густиною 1840 кг/м³)</w:t>
      </w:r>
      <w:r>
        <w:t xml:space="preserve"> </w:t>
      </w:r>
      <w:r>
        <w:t xml:space="preserve">- 0,05 М розчин сірчаної кислоти</w:t>
      </w:r>
      <w:r>
        <w:t xml:space="preserve"> </w:t>
      </w:r>
      <w:r>
        <w:t xml:space="preserve">- Пероксид водню</w:t>
      </w:r>
      <w:r>
        <w:t xml:space="preserve"> </w:t>
      </w:r>
      <w:r>
        <w:t xml:space="preserve">- 33 %-й розчин гідроксиду натрію</w:t>
      </w:r>
      <w:r>
        <w:t xml:space="preserve"> </w:t>
      </w:r>
      <w:r>
        <w:t xml:space="preserve">- 2%-вий розчин борної кислоти</w:t>
      </w:r>
      <w:r>
        <w:t xml:space="preserve"> </w:t>
      </w:r>
      <w:r>
        <w:t xml:space="preserve">- Селен металевий</w:t>
      </w:r>
      <w:r>
        <w:t xml:space="preserve"> </w:t>
      </w:r>
      <w:r>
        <w:t xml:space="preserve">- Сірчана кислота, що містить селен</w:t>
      </w:r>
      <w:r>
        <w:t xml:space="preserve"> </w:t>
      </w:r>
      <w:r>
        <w:t xml:space="preserve">- Стандартний розчин сульфату амонію</w:t>
      </w:r>
      <w:r>
        <w:t xml:space="preserve"> </w:t>
      </w:r>
      <w:r>
        <w:t xml:space="preserve">- 5 %-й розчин хлориду натрію</w:t>
      </w:r>
      <w:r>
        <w:t xml:space="preserve"> </w:t>
      </w:r>
      <w:r>
        <w:t xml:space="preserve">- Сухий яєчний порошок</w:t>
      </w:r>
      <w:r>
        <w:t xml:space="preserve"> </w:t>
      </w:r>
      <w:r>
        <w:t xml:space="preserve">- Сухий яєчний білок</w:t>
      </w:r>
      <w:r>
        <w:t xml:space="preserve"> </w:t>
      </w:r>
      <w:r>
        <w:t xml:space="preserve">- Сухий яєчний жовток</w:t>
      </w:r>
    </w:p>
    <w:p>
      <w:pPr>
        <w:pStyle w:val="Heading2"/>
      </w:pPr>
      <w:r>
        <w:t xml:space="preserve">Вимоги до якості яєчних сухих продуктів</w:t>
      </w:r>
    </w:p>
    <w:p>
      <w:pPr>
        <w:pStyle w:val="FirstParagraph"/>
      </w:pPr>
      <w:r>
        <w:t xml:space="preserve">Виробляють наступні види яєчних сухих продуктів: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Яєчний порошок</w:t>
      </w:r>
      <w:r>
        <w:t xml:space="preserve"> </w:t>
      </w:r>
      <w:r>
        <w:t xml:space="preserve">— зневоднена суміш жовтка і білка.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Білок яєчний сухий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Жовток яєчний сухий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Омлет сухий</w:t>
      </w:r>
      <w:r>
        <w:t xml:space="preserve"> </w:t>
      </w:r>
      <w:r>
        <w:t xml:space="preserve">— суміш яєчного порошку з пастеризованим цільним або знежиреним молоком (співвідношення 1:1).</w:t>
      </w:r>
    </w:p>
    <w:p>
      <w:pPr>
        <w:pStyle w:val="BodyText"/>
      </w:pPr>
      <w:r>
        <w:t xml:space="preserve">Не допускаються до реалізації зволожені яєчні сухі продукти з ослизлою поверхнею, цвіллю, стороннім запахом, кольором, що різко змінився, та згірклі.</w:t>
      </w:r>
    </w:p>
    <w:p>
      <w:pPr>
        <w:pStyle w:val="BodyText"/>
      </w:pPr>
      <w:r>
        <w:rPr>
          <w:bCs/>
          <w:b/>
        </w:rPr>
        <w:t xml:space="preserve">Пакування:</w:t>
      </w:r>
      <w:r>
        <w:t xml:space="preserve"> </w:t>
      </w:r>
      <w:r>
        <w:t xml:space="preserve">- Фанерні барабани або бочки масою нетто 25 кг.</w:t>
      </w:r>
      <w:r>
        <w:t xml:space="preserve"> </w:t>
      </w:r>
      <w:r>
        <w:t xml:space="preserve">- Паперові мішки (4-5 шарові) з поліетиленовими вкладишами масою нетто 20 кг.</w:t>
      </w:r>
      <w:r>
        <w:t xml:space="preserve"> </w:t>
      </w:r>
      <w:r>
        <w:t xml:space="preserve">- Ящики з гофрованого картону з поліетиленовим вкладишем-мішком масою 0,025 кг.</w:t>
      </w:r>
      <w:r>
        <w:t xml:space="preserve"> </w:t>
      </w:r>
      <w:r>
        <w:t xml:space="preserve">- Металеві банки масою нетто 0,25, 1,5 і 4,5 кг.</w:t>
      </w:r>
    </w:p>
    <w:p>
      <w:pPr>
        <w:pStyle w:val="BodyText"/>
      </w:pPr>
      <w:r>
        <w:rPr>
          <w:bCs/>
          <w:b/>
        </w:rPr>
        <w:t xml:space="preserve">Зберігання:</w:t>
      </w:r>
      <w:r>
        <w:t xml:space="preserve"> </w:t>
      </w:r>
      <w:r>
        <w:t xml:space="preserve">Сухі яєчні продукти зберігають при температурі не вище 20°С і відносній вологості повітря 65—75 % протягом 6 місяців, або при 2°С і відносній вологості повітря 60—70% протягом 2 років з дня вироблення.</w:t>
      </w:r>
    </w:p>
    <w:p>
      <w:pPr>
        <w:pStyle w:val="Heading2"/>
      </w:pPr>
      <w:r>
        <w:t xml:space="preserve">Відбір проб</w:t>
      </w:r>
    </w:p>
    <w:p>
      <w:pPr>
        <w:pStyle w:val="FirstParagraph"/>
      </w:pPr>
      <w:r>
        <w:t xml:space="preserve">Для визначення якості яєчних сухих продуктів відбирають проби щупом від 10 % одиниць упаковки, але не менше 5 одиниць. Загальна маса середньої проби від партії повинна бути не менше 200 г. Середні проби з’єднують, ретельно перемішують, піддають квартуванню і отримують об’єднану пробу масою 0,5 кг. Об’єднану пробу ділять на дві рівні частини: одну направляють в лабораторію для аналізу, іншу пломбують, забезпечують етикеткою і зберігають 1 місяць при температурі не вище 20 °С і відносній вологості 65—75% на випадок розбіжностей при визначенні якості.</w:t>
      </w:r>
    </w:p>
    <w:p>
      <w:pPr>
        <w:pStyle w:val="Heading2"/>
      </w:pPr>
      <w:r>
        <w:t xml:space="preserve">Хід роботи</w:t>
      </w:r>
    </w:p>
    <w:p>
      <w:pPr>
        <w:pStyle w:val="Heading3"/>
      </w:pPr>
      <w:r>
        <w:t xml:space="preserve">Органолептичні дослідження</w:t>
      </w:r>
    </w:p>
    <w:p>
      <w:pPr>
        <w:pStyle w:val="FirstParagraph"/>
      </w:pPr>
      <w:r>
        <w:t xml:space="preserve">Органолептична оцінка яєчних сухих продуктів включає визначення кольору, структури, запаху і смаку. Погіршення цих показників може бути спричинене реакціями меланоїдиноутворення в процесі сушки та зберігання, а також окислювальними змінами ліпідних фракцій.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Колір і структура:</w:t>
      </w:r>
      <w:r>
        <w:t xml:space="preserve"> </w:t>
      </w:r>
      <w:r>
        <w:t xml:space="preserve">Визначають при денному освітленні, звертаючи увагу на однорідність забарвлення і наявність грудочок, що легко розсипаються при натисканні.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Смак:</w:t>
      </w:r>
      <w:r>
        <w:t xml:space="preserve"> </w:t>
      </w:r>
      <w:r>
        <w:t xml:space="preserve">Визначають в охолодженому до кімнатної температури коржику. 20 г яєчного порошку (або білка) або 50 г сухого жовтка розтирають із 80 мл води при 20°С, перемішують і залишають для набухання на 15 хв. Суміш знову перемішують і запікають при температурі 154±2 °С протягом 8—10 хв.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Запах:</w:t>
      </w:r>
      <w:r>
        <w:t xml:space="preserve"> </w:t>
      </w:r>
      <w:r>
        <w:t xml:space="preserve">У склянку поміщають 20 г наважки, заливають 20 мл киплячої води, перемішують скляною паличкою і визначають запах.</w:t>
      </w:r>
    </w:p>
    <w:p>
      <w:pPr>
        <w:pStyle w:val="Heading3"/>
      </w:pPr>
      <w:r>
        <w:t xml:space="preserve">Таблиця 1. Органолептичні показники сухих яєчних продуктів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Layout w:type="autofit"/>
      </w:tblPr>
      <w:tr>
        <w:trPr>
          <w:tblHeader w:val="true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Показник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Яєчний порошок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Білок яєчний сухий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Жовток яєчний сухий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bCs/>
                <w:rFonts w:ascii="Arial" w:hAnsi="Arial"/>
                <w:b/>
                <w:color w:val="000000"/>
                <w:sz w:val="24"/>
              </w:rPr>
              <w:t xml:space="preserve">Колір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Від світло-жовтого до яскраво-жовтого, однорідний по всій масі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Жовтувато-білий, однорідний по всій масі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Від світло-жовтого до жовтого з оранжевим відтінком, однорідний по всій масі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bCs/>
                <w:rFonts w:ascii="Arial" w:hAnsi="Arial"/>
                <w:b/>
                <w:color w:val="000000"/>
                <w:sz w:val="24"/>
              </w:rPr>
              <w:t xml:space="preserve">Структура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Порошкоподібна, грудочки легко роздавлюються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Порошкоподібна, без грудочок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Порошкоподібна, грудочки легко роздавлюються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bCs/>
                <w:rFonts w:ascii="Arial" w:hAnsi="Arial"/>
                <w:b/>
                <w:color w:val="000000"/>
                <w:sz w:val="24"/>
              </w:rPr>
              <w:t xml:space="preserve">Запах, смак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Властиві свіжовисушеному, без стороннього присмаку та запаху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Властиві висушеному, без стороннього присмаку та запаху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Властиві свіжовисушеному, без стороннього присмаку та запаху</w:t>
            </w:r>
          </w:p>
        </w:tc>
      </w:tr>
    </w:tbl>
    <w:p>
      <w:pPr>
        <w:pStyle w:val="Heading3"/>
      </w:pPr>
      <w:r>
        <w:t xml:space="preserve">Фізико-хімічні дослідження</w:t>
      </w:r>
    </w:p>
    <w:p>
      <w:pPr>
        <w:pStyle w:val="FirstParagraph"/>
      </w:pPr>
      <w:r>
        <w:t xml:space="preserve">При оцінці якості яєчних сухих продуктів визначають їх кислотність, рН, розчинність і хімічний склад.</w:t>
      </w:r>
    </w:p>
    <w:p>
      <w:pPr>
        <w:pStyle w:val="Heading4"/>
      </w:pPr>
      <w:r>
        <w:t xml:space="preserve">Визначення кислотності</w:t>
      </w:r>
    </w:p>
    <w:p>
      <w:pPr>
        <w:pStyle w:val="FirstParagraph"/>
      </w:pPr>
      <w:r>
        <w:t xml:space="preserve">Метод заснований на нейтралізації водного розчину яєчних сухих продуктів певною кількістю лугу.</w:t>
      </w:r>
    </w:p>
    <w:p>
      <w:pPr>
        <w:pStyle w:val="BodyText"/>
      </w:pPr>
      <w:r>
        <w:rPr>
          <w:bCs/>
          <w:b/>
        </w:rPr>
        <w:t xml:space="preserve">Порядок виконання роботи:</w:t>
      </w:r>
      <w:r>
        <w:t xml:space="preserve"> </w:t>
      </w:r>
      <w:r>
        <w:t xml:space="preserve">1. Наважку 5 г яєчного порошку (або 2,5 г сухого білка, або 10 г сухого жовтка) з точністю до 0,001 г розтирають в ступці з невеликою кількістю дистильованої води протягом 3-5 хв.</w:t>
      </w:r>
      <w:r>
        <w:t xml:space="preserve"> </w:t>
      </w:r>
      <w:r>
        <w:t xml:space="preserve">2. Суміш кількісно переносять в мірну колбу місткістю 250 мл і доводять об’єм до мітки.</w:t>
      </w:r>
      <w:r>
        <w:t xml:space="preserve"> </w:t>
      </w:r>
      <w:r>
        <w:t xml:space="preserve">3. Колбу закривають пробкою і збовтують 25—30 хв.</w:t>
      </w:r>
      <w:r>
        <w:t xml:space="preserve"> </w:t>
      </w:r>
      <w:r>
        <w:t xml:space="preserve">4. 20 мл суміші поміщають в колбу, додають 20 мл дистильованої води і титрують 0,01 М розчином гідроксиду натрію у присутності фенолфталеїну до появи рожево-оранжевого забарвлення.</w:t>
      </w:r>
    </w:p>
    <w:p>
      <w:pPr>
        <w:pStyle w:val="BodyText"/>
      </w:pPr>
      <w:r>
        <w:t xml:space="preserve">Кислотність (в °Т) обчислюють за формулою:</w:t>
      </w:r>
    </w:p>
    <w:p>
      <w:pPr>
        <w:pStyle w:val="SourceCode"/>
      </w:pPr>
      <w:r>
        <w:rPr>
          <w:rStyle w:val="VerbatimChar"/>
        </w:rPr>
        <w:t xml:space="preserve">X = (V₁ * K * 10 * 250) / (m₀ * V)</w:t>
      </w:r>
    </w:p>
    <w:p>
      <w:pPr>
        <w:pStyle w:val="FirstParagraph"/>
      </w:pPr>
      <w:r>
        <w:t xml:space="preserve">де: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V₁</w:t>
      </w:r>
      <w:r>
        <w:t xml:space="preserve"> </w:t>
      </w:r>
      <w:r>
        <w:t xml:space="preserve">— об’єм 0,01 М розчину гідроксиду натрію або калію, що пішов на титрування, мл;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коефіцієнт перерахунку на точно 0,01 М розчин гідроксиду натрію або калію;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m₀</w:t>
      </w:r>
      <w:r>
        <w:t xml:space="preserve"> </w:t>
      </w:r>
      <w:r>
        <w:t xml:space="preserve">— маса наважки, г;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коефіцієнт для перерахунку 0,01 М розчину в 0,1 М;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— об’єм суміші, взятий для титрування, мл (в даному випадку 20 мл);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250</w:t>
      </w:r>
      <w:r>
        <w:t xml:space="preserve"> </w:t>
      </w:r>
      <w:r>
        <w:t xml:space="preserve">— загальний об’єм розчину, мл.</w:t>
      </w:r>
    </w:p>
    <w:p>
      <w:pPr>
        <w:pStyle w:val="BodyText"/>
      </w:pPr>
      <w:r>
        <w:t xml:space="preserve">Розбіжність між паралельними визначеннями не повинна перевищувати ±0,3 °Т.</w:t>
      </w:r>
    </w:p>
    <w:p>
      <w:pPr>
        <w:pStyle w:val="Heading4"/>
      </w:pPr>
      <w:r>
        <w:t xml:space="preserve">Визначення величини рН</w:t>
      </w:r>
    </w:p>
    <w:p>
      <w:pPr>
        <w:pStyle w:val="FirstParagraph"/>
      </w:pPr>
      <w:r>
        <w:t xml:space="preserve">Величину рН визначають в 1 %-вому розчині сухого білка при температурі 20±2 °С методом потенціометрії. Допустима розбіжність між паралельними визначеннями не повинна перевищувати ±0,2.</w:t>
      </w:r>
    </w:p>
    <w:p>
      <w:pPr>
        <w:pStyle w:val="Heading4"/>
      </w:pPr>
      <w:r>
        <w:t xml:space="preserve">Визначення розчинності</w:t>
      </w:r>
    </w:p>
    <w:p>
      <w:pPr>
        <w:pStyle w:val="FirstParagraph"/>
      </w:pPr>
      <w:r>
        <w:t xml:space="preserve">Розчинність яєчних сухих продуктів залежить від ступеня денатураційних змін білків і розвитку реакцій меланоїдиноутворення, що виникають в процесі сушки і зберігання висушеного продукту. Зменшення розчинності позначається на зниженні піноутворювальної здатності білка.</w:t>
      </w:r>
    </w:p>
    <w:sectPr w:rsidR="00FC693F" w:rsidRPr="0006063C" w:rsidSect="00034616">
      <w:pgSz w:h="15840" w:w="12240"/>
      <w:pgMar w:bottom="1440" w:footer="720" w:gutter="0" w:header="720" w:left="1134" w:right="56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Arial" w:hAnsi="Arial"/>
      <w:b w:val="0"/>
      <w:i w:val="0"/>
      <w:color w:val="000000"/>
      <w:sz w:val="28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Arial" w:hAnsi="Arial"/>
      <w:b w:val="0"/>
      <w:i w:val="0"/>
      <w:color w:val="000000"/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0" w:line="360" w:lineRule="auto"/>
      <w:ind w:firstLine="709" w:left="0" w:right="0"/>
      <w:outlineLvl w:val="0"/>
    </w:pPr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1"/>
    </w:pPr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2"/>
    </w:pPr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3"/>
    </w:pPr>
    <w:rPr>
      <w:rFonts w:ascii="Arial" w:asciiTheme="majorHAnsi" w:cstheme="majorBidi" w:eastAsiaTheme="majorEastAsia" w:hAnsi="Arial" w:hAnsiTheme="majorHAnsi"/>
      <w:b w:val="0"/>
      <w:bCs/>
      <w:i w:val="0"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4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5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6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7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8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Arial" w:hAnsi="Arial"/>
      <w:b w:val="0"/>
      <w:i w:val="0"/>
      <w:color w:val="000000"/>
      <w:sz w:val="28"/>
    </w:rPr>
  </w:style>
  <w:style w:default="1" w:styleId="TableNormal" w:type="table">
    <w:name w:val="Normal Table"/>
    <w:uiPriority w:val="99"/>
    <w:semiHidden/>
    <w:unhideWhenUsed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0" w:before="0" w:line="360" w:lineRule="auto"/>
      <w:ind w:firstLine="709" w:left="0" w:right="0"/>
      <w:contextualSpacing/>
    </w:pPr>
    <w:rPr>
      <w:rFonts w:ascii="Arial" w:asciiTheme="majorHAnsi" w:cstheme="majorBidi" w:eastAsiaTheme="majorEastAsia" w:hAnsi="Arial" w:hAnsiTheme="majorHAnsi"/>
      <w:b w:val="0"/>
      <w:i w:val="0"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Arial" w:asciiTheme="majorHAnsi" w:cstheme="majorBidi" w:eastAsiaTheme="majorEastAsia" w:hAnsi="Arial" w:hAnsiTheme="majorHAnsi"/>
      <w:b w:val="0"/>
      <w:i w:val="0"/>
      <w:color w:val="000000"/>
      <w:spacing w:val="5"/>
      <w:kern w:val="28"/>
      <w:sz w:val="2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pacing w:val="15"/>
      <w:sz w:val="28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Arial" w:hAnsi="Arial"/>
      <w:b w:val="0"/>
      <w:i w:val="0"/>
      <w:color w:val="000000"/>
      <w:sz w:val="28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Arial" w:hAnsi="Arial"/>
      <w:b w:val="0"/>
      <w:i w:val="0"/>
      <w:color w:val="000000"/>
      <w:sz w:val="28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Arial" w:hAnsi="Arial"/>
      <w:b w:val="0"/>
      <w:i w:val="0"/>
      <w:color w:val="000000"/>
      <w:sz w:val="28"/>
      <w:szCs w:val="16"/>
    </w:rPr>
  </w:style>
  <w:style w:styleId="List" w:type="paragraph">
    <w:name w:val="List"/>
    <w:basedOn w:val="Normal"/>
    <w:uiPriority w:val="99"/>
    <w:unhideWhenUsed/>
    <w:rsid w:val="00AA1D8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2" w:type="paragraph">
    <w:name w:val="List 2"/>
    <w:basedOn w:val="Normal"/>
    <w:uiPriority w:val="99"/>
    <w:unhideWhenUsed/>
    <w:rsid w:val="00326F90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3" w:type="paragraph">
    <w:name w:val="List 3"/>
    <w:basedOn w:val="Normal"/>
    <w:uiPriority w:val="99"/>
    <w:unhideWhenUsed/>
    <w:rsid w:val="00326F90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Continue" w:type="paragraph">
    <w:name w:val="List Continue"/>
    <w:basedOn w:val="Normal"/>
    <w:uiPriority w:val="99"/>
    <w:unhideWhenUsed/>
    <w:rsid w:val="0029639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Arial" w:hAnsi="Arial"/>
      <w:b w:val="0"/>
      <w:i w:val="0"/>
      <w:color w:val="000000"/>
      <w:sz w:val="28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iCs/>
      <w:color w:val="000000"/>
      <w:sz w:val="28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Arial" w:hAnsi="Arial"/>
      <w:b w:val="0"/>
      <w:i w:val="0"/>
      <w:iCs/>
      <w:color w:val="000000"/>
      <w:sz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bCs/>
      <w:i w:val="0"/>
      <w:iCs/>
      <w:color w:val="000000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color w:val="000000"/>
      <w:sz w:val="28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bCs/>
      <w:i w:val="0"/>
      <w:color w:val="000000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Arial" w:hAnsi="Arial"/>
      <w:b w:val="0"/>
      <w:bCs/>
      <w:i w:val="0"/>
      <w:color w:val="000000"/>
      <w:sz w:val="28"/>
    </w:rPr>
  </w:style>
  <w:style w:styleId="Emphasis" w:type="character">
    <w:name w:val="Emphasis"/>
    <w:basedOn w:val="DefaultParagraphFont"/>
    <w:uiPriority w:val="20"/>
    <w:qFormat/>
    <w:rsid w:val="00FC693F"/>
    <w:rPr>
      <w:rFonts w:ascii="Arial" w:hAnsi="Arial"/>
      <w:b w:val="0"/>
      <w:i w:val="0"/>
      <w:iCs/>
      <w:color w:val="000000"/>
      <w:sz w:val="2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0" w:before="0" w:line="360" w:lineRule="auto"/>
      <w:ind w:firstLine="709" w:left="0" w:right="0"/>
    </w:pPr>
    <w:rPr>
      <w:rFonts w:ascii="Arial" w:hAnsi="Arial"/>
      <w:b w:val="0"/>
      <w:bCs/>
      <w:i w:val="0"/>
      <w:iCs/>
      <w:color w:val="000000"/>
      <w:sz w:val="2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Arial" w:hAnsi="Arial"/>
      <w:b w:val="0"/>
      <w:bCs/>
      <w:i w:val="0"/>
      <w:iCs/>
      <w:color w:val="000000"/>
      <w:sz w:val="28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Arial" w:hAnsi="Arial"/>
      <w:b w:val="0"/>
      <w:i w:val="0"/>
      <w:iCs/>
      <w:color w:val="000000"/>
      <w:sz w:val="28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Arial" w:hAnsi="Arial"/>
      <w:b w:val="0"/>
      <w:bCs/>
      <w:i w:val="0"/>
      <w:iCs/>
      <w:color w:val="000000"/>
      <w:sz w:val="28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Arial" w:hAnsi="Arial"/>
      <w:b w:val="0"/>
      <w:i w:val="0"/>
      <w:smallCaps/>
      <w:color w:val="000000"/>
      <w:sz w:val="28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Arial" w:hAnsi="Arial"/>
      <w:b w:val="0"/>
      <w:bCs/>
      <w:i w:val="0"/>
      <w:smallCaps/>
      <w:color w:val="000000"/>
      <w:spacing w:val="5"/>
      <w:sz w:val="28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Arial" w:hAnsi="Arial"/>
      <w:b w:val="0"/>
      <w:bCs/>
      <w:i w:val="0"/>
      <w:smallCaps/>
      <w:color w:val="000000"/>
      <w:spacing w:val="5"/>
      <w:sz w:val="28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0" w:before="0" w:line="360" w:lineRule="auto"/>
      <w:ind w:firstLine="709" w:left="0" w:right="0"/>
      <w:outlineLvl w:val="9"/>
    </w:pPr>
    <w:rPr>
      <w:rFonts w:ascii="Arial" w:hAnsi="Arial"/>
      <w:b w:val="0"/>
      <w:i w:val="0"/>
      <w:color w:val="000000"/>
      <w:sz w:val="28"/>
    </w:rPr>
  </w:style>
  <w:style w:styleId="TableGrid" w:type="table">
    <w:name w:val="Table Grid"/>
    <w:basedOn w:val="TableNormal"/>
    <w:uiPriority w:val="59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2026-04-28T16:37:02Z</dcterms:created>
  <dcterms:modified xsi:type="dcterms:W3CDTF">2026-04-28T16:37:02Z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