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Лабораторна робота №8</w:t>
      </w:r>
    </w:p>
    <w:p>
      <w:pPr>
        <w:pStyle w:val="Heading2"/>
      </w:pPr>
      <w:r>
        <w:t xml:space="preserve">Опис: Ідентифікація типу та номера роботи</w:t>
      </w:r>
    </w:p>
    <w:p>
      <w:pPr>
        <w:pStyle w:val="FirstParagraph"/>
      </w:pPr>
      <w:r>
        <w:t xml:space="preserve">Наприклад: це лабораторна робота №8</w:t>
      </w:r>
    </w:p>
    <w:p>
      <w:pPr>
        <w:pStyle w:val="Heading2"/>
      </w:pPr>
      <w:r>
        <w:t xml:space="preserve">Дослідження якості сухих яєчних продуктів</w:t>
      </w:r>
    </w:p>
    <w:p>
      <w:pPr>
        <w:pStyle w:val="Heading3"/>
      </w:pPr>
      <w:r>
        <w:t xml:space="preserve">Опис: Формулювання теми або предмету дослідження</w:t>
      </w:r>
    </w:p>
    <w:p>
      <w:pPr>
        <w:pStyle w:val="FirstParagraph"/>
      </w:pPr>
      <w:r>
        <w:t xml:space="preserve">Наприклад: темою є дослідження якості сухих яєчних продуктів</w:t>
      </w:r>
    </w:p>
    <w:p>
      <w:pPr>
        <w:pStyle w:val="Heading1"/>
      </w:pPr>
      <w:r>
        <w:t xml:space="preserve">Мета роботи</w:t>
      </w:r>
    </w:p>
    <w:p>
      <w:pPr>
        <w:pStyle w:val="Heading3"/>
      </w:pPr>
      <w:r>
        <w:t xml:space="preserve">Опис: Визначення основних завдань та очікуваних результатів</w:t>
      </w:r>
    </w:p>
    <w:p>
      <w:pPr>
        <w:pStyle w:val="FirstParagraph"/>
      </w:pPr>
      <w:r>
        <w:t xml:space="preserve">Наприклад: метою є визначення якості сухих яйцепродуктів за органолептичними і фізико-хімічними показниками та перелік знань і вмінь студента</w:t>
      </w:r>
    </w:p>
    <w:p>
      <w:pPr>
        <w:pStyle w:val="Heading1"/>
      </w:pPr>
      <w:r>
        <w:t xml:space="preserve">Обладнання</w:t>
      </w:r>
    </w:p>
    <w:p>
      <w:pPr>
        <w:pStyle w:val="Heading3"/>
      </w:pPr>
      <w:r>
        <w:t xml:space="preserve">Опис: Перелік технічних засобів та приладів, необхідних для виконання</w:t>
      </w:r>
    </w:p>
    <w:p>
      <w:pPr>
        <w:pStyle w:val="FirstParagraph"/>
      </w:pPr>
      <w:r>
        <w:t xml:space="preserve">Наприклад: наведено список обладнання, що включає сушильну шафу, рефрактометр, ваги, рН-метр та інше</w:t>
      </w:r>
    </w:p>
    <w:p>
      <w:pPr>
        <w:numPr>
          <w:ilvl w:val="0"/>
          <w:numId w:val="1001"/>
        </w:numPr>
        <w:pStyle w:val="Compact"/>
      </w:pPr>
      <w:r>
        <w:t xml:space="preserve">Шафа сушильна електрична з терморегулятором</w:t>
      </w:r>
    </w:p>
    <w:p>
      <w:pPr>
        <w:numPr>
          <w:ilvl w:val="0"/>
          <w:numId w:val="1001"/>
        </w:numPr>
        <w:pStyle w:val="Compact"/>
      </w:pPr>
      <w:r>
        <w:t xml:space="preserve">Сушильний апарат САЛ</w:t>
      </w:r>
    </w:p>
    <w:p>
      <w:pPr>
        <w:numPr>
          <w:ilvl w:val="0"/>
          <w:numId w:val="1001"/>
        </w:numPr>
        <w:pStyle w:val="Compact"/>
      </w:pPr>
      <w:r>
        <w:t xml:space="preserve">Лабораторний рефрактометр</w:t>
      </w:r>
    </w:p>
    <w:p>
      <w:pPr>
        <w:numPr>
          <w:ilvl w:val="0"/>
          <w:numId w:val="1001"/>
        </w:numPr>
        <w:pStyle w:val="Compact"/>
      </w:pPr>
      <w:r>
        <w:t xml:space="preserve">Ваги лабораторні технічні</w:t>
      </w:r>
    </w:p>
    <w:p>
      <w:pPr>
        <w:numPr>
          <w:ilvl w:val="0"/>
          <w:numId w:val="1001"/>
        </w:numPr>
        <w:pStyle w:val="Compact"/>
      </w:pPr>
      <w:r>
        <w:t xml:space="preserve">Ваги лабораторні аналітичні</w:t>
      </w:r>
    </w:p>
    <w:p>
      <w:pPr>
        <w:numPr>
          <w:ilvl w:val="0"/>
          <w:numId w:val="1001"/>
        </w:numPr>
        <w:pStyle w:val="Compact"/>
      </w:pPr>
      <w:r>
        <w:t xml:space="preserve">рН-метр</w:t>
      </w:r>
    </w:p>
    <w:p>
      <w:pPr>
        <w:numPr>
          <w:ilvl w:val="0"/>
          <w:numId w:val="1001"/>
        </w:numPr>
        <w:pStyle w:val="Compact"/>
      </w:pPr>
      <w:r>
        <w:t xml:space="preserve">Центрифуга</w:t>
      </w:r>
    </w:p>
    <w:p>
      <w:pPr>
        <w:numPr>
          <w:ilvl w:val="0"/>
          <w:numId w:val="1001"/>
        </w:numPr>
        <w:pStyle w:val="Compact"/>
      </w:pPr>
      <w:r>
        <w:t xml:space="preserve">Електрична плитка</w:t>
      </w:r>
    </w:p>
    <w:p>
      <w:pPr>
        <w:numPr>
          <w:ilvl w:val="0"/>
          <w:numId w:val="1001"/>
        </w:numPr>
        <w:pStyle w:val="Compact"/>
      </w:pPr>
      <w:r>
        <w:t xml:space="preserve">Ексикатор</w:t>
      </w:r>
    </w:p>
    <w:p>
      <w:pPr>
        <w:numPr>
          <w:ilvl w:val="0"/>
          <w:numId w:val="1001"/>
        </w:numPr>
        <w:pStyle w:val="Compact"/>
      </w:pPr>
      <w:r>
        <w:t xml:space="preserve">Пінцет</w:t>
      </w:r>
    </w:p>
    <w:p>
      <w:pPr>
        <w:pStyle w:val="Heading1"/>
      </w:pPr>
      <w:r>
        <w:t xml:space="preserve">Матеріали та реактиви</w:t>
      </w:r>
    </w:p>
    <w:p>
      <w:pPr>
        <w:pStyle w:val="Heading3"/>
      </w:pPr>
      <w:r>
        <w:t xml:space="preserve">Опис: Список витратних компонентів та хімічних речовин</w:t>
      </w:r>
    </w:p>
    <w:p>
      <w:pPr>
        <w:pStyle w:val="FirstParagraph"/>
      </w:pPr>
      <w:r>
        <w:t xml:space="preserve">Наприклад: перераховано необхідні матеріали та реактиви, такі як бюкси, колби, гідроксид натрію, сірчана кислота та інші</w:t>
      </w:r>
    </w:p>
    <w:p>
      <w:pPr>
        <w:numPr>
          <w:ilvl w:val="0"/>
          <w:numId w:val="1002"/>
        </w:numPr>
        <w:pStyle w:val="Compact"/>
      </w:pPr>
      <w:r>
        <w:t xml:space="preserve">Бюкси металічні або стаканчики для зважування</w:t>
      </w:r>
    </w:p>
    <w:p>
      <w:pPr>
        <w:numPr>
          <w:ilvl w:val="0"/>
          <w:numId w:val="1002"/>
        </w:numPr>
        <w:pStyle w:val="Compact"/>
      </w:pPr>
      <w:r>
        <w:t xml:space="preserve">Палички скляні</w:t>
      </w:r>
    </w:p>
    <w:p>
      <w:pPr>
        <w:numPr>
          <w:ilvl w:val="0"/>
          <w:numId w:val="1002"/>
        </w:numPr>
        <w:pStyle w:val="Compact"/>
      </w:pPr>
      <w:r>
        <w:t xml:space="preserve">Колба термостійка на 500 мл</w:t>
      </w:r>
    </w:p>
    <w:p>
      <w:pPr>
        <w:numPr>
          <w:ilvl w:val="0"/>
          <w:numId w:val="1002"/>
        </w:numPr>
        <w:pStyle w:val="Compact"/>
      </w:pPr>
      <w:r>
        <w:t xml:space="preserve">Мірні колби об’ємом 250, 500 мл</w:t>
      </w:r>
    </w:p>
    <w:p>
      <w:pPr>
        <w:numPr>
          <w:ilvl w:val="0"/>
          <w:numId w:val="1002"/>
        </w:numPr>
        <w:pStyle w:val="Compact"/>
      </w:pPr>
      <w:r>
        <w:t xml:space="preserve">Папір фільтрувальний</w:t>
      </w:r>
    </w:p>
    <w:p>
      <w:pPr>
        <w:numPr>
          <w:ilvl w:val="0"/>
          <w:numId w:val="1002"/>
        </w:numPr>
        <w:pStyle w:val="Compact"/>
      </w:pPr>
      <w:r>
        <w:t xml:space="preserve">0,01 М розчин гідроксиду натрію або гідроксиду калію</w:t>
      </w:r>
    </w:p>
    <w:p>
      <w:pPr>
        <w:numPr>
          <w:ilvl w:val="0"/>
          <w:numId w:val="1002"/>
        </w:numPr>
        <w:pStyle w:val="Compact"/>
      </w:pPr>
      <w:r>
        <w:t xml:space="preserve">2 %-й розчин фенолфталеїну</w:t>
      </w:r>
    </w:p>
    <w:p>
      <w:pPr>
        <w:numPr>
          <w:ilvl w:val="0"/>
          <w:numId w:val="1002"/>
        </w:numPr>
        <w:pStyle w:val="Compact"/>
      </w:pPr>
      <w:r>
        <w:t xml:space="preserve">Сульфат натрію</w:t>
      </w:r>
    </w:p>
    <w:p>
      <w:pPr>
        <w:numPr>
          <w:ilvl w:val="0"/>
          <w:numId w:val="1002"/>
        </w:numPr>
        <w:pStyle w:val="Compact"/>
      </w:pPr>
      <w:r>
        <w:t xml:space="preserve">Сірчана кислота (густиною 1840 кг/м3)</w:t>
      </w:r>
    </w:p>
    <w:p>
      <w:pPr>
        <w:numPr>
          <w:ilvl w:val="0"/>
          <w:numId w:val="1002"/>
        </w:numPr>
        <w:pStyle w:val="Compact"/>
      </w:pPr>
      <w:r>
        <w:t xml:space="preserve">0,05 М розчин сірчаної кислоти</w:t>
      </w:r>
    </w:p>
    <w:p>
      <w:pPr>
        <w:numPr>
          <w:ilvl w:val="0"/>
          <w:numId w:val="1002"/>
        </w:numPr>
        <w:pStyle w:val="Compact"/>
      </w:pPr>
      <w:r>
        <w:t xml:space="preserve">Пероксид водню</w:t>
      </w:r>
    </w:p>
    <w:p>
      <w:pPr>
        <w:numPr>
          <w:ilvl w:val="0"/>
          <w:numId w:val="1002"/>
        </w:numPr>
        <w:pStyle w:val="Compact"/>
      </w:pPr>
      <w:r>
        <w:t xml:space="preserve">33 %-й розчину гідроксиду натрію</w:t>
      </w:r>
    </w:p>
    <w:p>
      <w:pPr>
        <w:numPr>
          <w:ilvl w:val="0"/>
          <w:numId w:val="1002"/>
        </w:numPr>
        <w:pStyle w:val="Compact"/>
      </w:pPr>
      <w:r>
        <w:t xml:space="preserve">2%-вий розчин борної кислоти</w:t>
      </w:r>
    </w:p>
    <w:p>
      <w:pPr>
        <w:numPr>
          <w:ilvl w:val="0"/>
          <w:numId w:val="1002"/>
        </w:numPr>
        <w:pStyle w:val="Compact"/>
      </w:pPr>
      <w:r>
        <w:t xml:space="preserve">Селен металевий</w:t>
      </w:r>
    </w:p>
    <w:p>
      <w:pPr>
        <w:numPr>
          <w:ilvl w:val="0"/>
          <w:numId w:val="1002"/>
        </w:numPr>
        <w:pStyle w:val="Compact"/>
      </w:pPr>
      <w:r>
        <w:t xml:space="preserve">Сірчана кислота, що містить селен (5 г селену кип’ятять в 10 мл концентрованої сірчаної кислоти до повного розчинення селену, тобто до повного знебарвлення розчину)</w:t>
      </w:r>
    </w:p>
    <w:p>
      <w:pPr>
        <w:numPr>
          <w:ilvl w:val="0"/>
          <w:numId w:val="1002"/>
        </w:numPr>
        <w:pStyle w:val="Compact"/>
      </w:pPr>
      <w:r>
        <w:t xml:space="preserve">Сульфат амонію стандартний розчин (0,236 г сульфату амонію розчиняють в 500 мл дистильованої води, 1 мл розчину містить 0,1 міліграм азоту)</w:t>
      </w:r>
    </w:p>
    <w:p>
      <w:pPr>
        <w:numPr>
          <w:ilvl w:val="0"/>
          <w:numId w:val="1002"/>
        </w:numPr>
        <w:pStyle w:val="Compact"/>
      </w:pPr>
      <w:r>
        <w:t xml:space="preserve">5 %-й розчин хлориду натрію</w:t>
      </w:r>
    </w:p>
    <w:p>
      <w:pPr>
        <w:pStyle w:val="Heading1"/>
      </w:pPr>
      <w:r>
        <w:t xml:space="preserve">Сировина</w:t>
      </w:r>
    </w:p>
    <w:p>
      <w:pPr>
        <w:pStyle w:val="Heading3"/>
      </w:pPr>
      <w:r>
        <w:t xml:space="preserve">Опис: Опис вихідних продуктів, що підлягають аналізу</w:t>
      </w:r>
    </w:p>
    <w:p>
      <w:pPr>
        <w:pStyle w:val="FirstParagraph"/>
      </w:pPr>
      <w:r>
        <w:t xml:space="preserve">Наприклад: вказано, що сировиною є сухий яєчний порошок, білок та жовток</w:t>
      </w:r>
    </w:p>
    <w:p>
      <w:pPr>
        <w:numPr>
          <w:ilvl w:val="0"/>
          <w:numId w:val="1003"/>
        </w:numPr>
        <w:pStyle w:val="Compact"/>
      </w:pPr>
      <w:r>
        <w:t xml:space="preserve">Сухий яєчний порошок</w:t>
      </w:r>
    </w:p>
    <w:p>
      <w:pPr>
        <w:numPr>
          <w:ilvl w:val="0"/>
          <w:numId w:val="1003"/>
        </w:numPr>
        <w:pStyle w:val="Compact"/>
      </w:pPr>
      <w:r>
        <w:t xml:space="preserve">Сухий яєчний білок</w:t>
      </w:r>
    </w:p>
    <w:p>
      <w:pPr>
        <w:numPr>
          <w:ilvl w:val="0"/>
          <w:numId w:val="1003"/>
        </w:numPr>
        <w:pStyle w:val="Compact"/>
      </w:pPr>
      <w:r>
        <w:t xml:space="preserve">Сухий яєчний жовток</w:t>
      </w:r>
    </w:p>
    <w:p>
      <w:pPr>
        <w:pStyle w:val="Heading1"/>
      </w:pPr>
      <w:r>
        <w:t xml:space="preserve">ВИМОГИ ДО ЯКОСТІ ЯЄЧНИХ СУХИХ ПРОДУКТІВ</w:t>
      </w:r>
    </w:p>
    <w:p>
      <w:pPr>
        <w:pStyle w:val="Heading3"/>
      </w:pPr>
      <w:r>
        <w:t xml:space="preserve">Опис: Встановлення стандартів та критеріїв для оцінки об’єкта</w:t>
      </w:r>
    </w:p>
    <w:p>
      <w:pPr>
        <w:pStyle w:val="FirstParagraph"/>
      </w:pPr>
      <w:r>
        <w:t xml:space="preserve">Наприклад: описано види яєчних сухих продуктів, вимоги до їх якості, умови пакування та зберігання</w:t>
      </w:r>
    </w:p>
    <w:p>
      <w:pPr>
        <w:pStyle w:val="BodyText"/>
      </w:pPr>
      <w:r>
        <w:t xml:space="preserve">Виробляють наступні види яєчних сухих продуктів: яєчний порошок — зневоднена суміш жовтка і білка; білок яєчний сухий; жовток яєчний сухий; омлет сухий — суміш яєчного порошку пастеризованим цільним або знежиреним молоком (співвідношення 1:1).</w:t>
      </w:r>
    </w:p>
    <w:p>
      <w:pPr>
        <w:pStyle w:val="BodyText"/>
      </w:pPr>
      <w:r>
        <w:t xml:space="preserve">Яєчні сухі продукти за якістю повинні задовольняти вимогам, представленим в табл. 5.4.</w:t>
      </w:r>
    </w:p>
    <w:p>
      <w:pPr>
        <w:pStyle w:val="BodyText"/>
      </w:pPr>
      <w:r>
        <w:t xml:space="preserve">Не допускаються до реалізації зволожені яєчні сухі продукти з ослизлою поверхнею, цвіллю, стороннім запахом, кольором, що різко змінився, згірклі.</w:t>
      </w:r>
    </w:p>
    <w:p>
      <w:pPr>
        <w:pStyle w:val="BodyText"/>
      </w:pPr>
      <w:r>
        <w:t xml:space="preserve">Сухі яєчні продукти упаковують у фанерні барабани або бочки масою нетто 25 кг; у паперові мішки чотирьох- і п’ятишарові вкладишами із поліетиленової плівки масою нетто 20 кг; у ящики гофрованого картону вкладишем-мішком із поліетиленової плівки масою 0,025 кг; у металеві банки масою нетто 0,25, 1,5 і 4,5 кг.</w:t>
      </w:r>
    </w:p>
    <w:p>
      <w:pPr>
        <w:pStyle w:val="BodyText"/>
      </w:pPr>
      <w:r>
        <w:t xml:space="preserve">Відхилення маси, що допускаються: ±3 % для упаковок масою 0,075 і 0,25 кг; ±1 % для упаковок масою 1,5 і 4,5 кг; ±0,5 % для упаковок масою 12,5 — 25 кг.</w:t>
      </w:r>
    </w:p>
    <w:p>
      <w:pPr>
        <w:pStyle w:val="BodyText"/>
      </w:pPr>
      <w:r>
        <w:t xml:space="preserve">Сухі яєчні продукти зберігають при температурі не вище 20°С і відносній вологості повітря 65—75 % 6 міс, при 2°С і відносній вологості повітря 60—70% 2 роки з дня вироблення.</w:t>
      </w:r>
    </w:p>
    <w:p>
      <w:pPr>
        <w:pStyle w:val="Heading1"/>
      </w:pPr>
      <w:r>
        <w:t xml:space="preserve">ВИЗНАЧЕННЯ ЯКОСТІ ЯЄЧНИХ СУХИХ ПРОДУКТІВ</w:t>
      </w:r>
    </w:p>
    <w:p>
      <w:pPr>
        <w:pStyle w:val="Heading3"/>
      </w:pPr>
      <w:r>
        <w:t xml:space="preserve">Опис: Опис процедур та методології для проведення аналізу</w:t>
      </w:r>
    </w:p>
    <w:p>
      <w:pPr>
        <w:pStyle w:val="FirstParagraph"/>
      </w:pPr>
      <w:r>
        <w:t xml:space="preserve">Наприклад: деталізовано процес відбору проб яєчних сухих продуктів для подальшого аналізу в лабораторії</w:t>
      </w:r>
    </w:p>
    <w:p>
      <w:pPr>
        <w:pStyle w:val="BodyText"/>
      </w:pPr>
      <w:r>
        <w:t xml:space="preserve">Для визначення якості яєчних сухих продуктів відбирають проби щупом від 10 % одиниць упаковки, але не менше 5 одиниць. Загальна маса середньої проби від партії повинна бути не меншого 200 г. Середні проби з’єднують, ретельно перемішують, піддають квартуванню і отримують об’єднану пробу масою 0,5 кг. Об’єднану пробу ділять на дві рівні частини: одну направляють в лабораторію для аналізу, іншу пломбують, забезпечують етикеткою і зберігають 1 мі при температурі не вище 20 °С і відносній вологості 65—75% на випадок розбіжностей при визначенні якості яєчних сухих продуктів.</w:t>
      </w:r>
    </w:p>
    <w:p>
      <w:pPr>
        <w:pStyle w:val="Heading2"/>
      </w:pPr>
      <w:r>
        <w:t xml:space="preserve">Органолептичні дослідження</w:t>
      </w:r>
    </w:p>
    <w:p>
      <w:pPr>
        <w:pStyle w:val="Heading3"/>
      </w:pPr>
      <w:r>
        <w:t xml:space="preserve">Опис: Аналіз властивостей продукту за допомогою органів чуття</w:t>
      </w:r>
    </w:p>
    <w:p>
      <w:pPr>
        <w:pStyle w:val="FirstParagraph"/>
      </w:pPr>
      <w:r>
        <w:t xml:space="preserve">Наприклад: описано методику визначення кольору, структури, запаху та смаку сухих яєчних продуктів</w:t>
      </w:r>
    </w:p>
    <w:p>
      <w:pPr>
        <w:pStyle w:val="BodyText"/>
      </w:pPr>
      <w:r>
        <w:t xml:space="preserve">Органолептична оцінка яєчних сухих продуктів включає визначення кольору, структури, запаху і смаку. Органолептичні показники залежать від якості сировини, умов і режимних параметрів пастеризації, сушки і умов зберігання.</w:t>
      </w:r>
    </w:p>
    <w:p>
      <w:pPr>
        <w:pStyle w:val="BodyText"/>
      </w:pPr>
      <w:r>
        <w:t xml:space="preserve">Причиною погіршення кольору, запаху і смаку сухих продуктів можуть з’явитися реакції меланоїдиноутворень в процесі сушки і подальшого зберігання, а також окислювальні зміни ліпідних фракції зневоднених продуктів.</w:t>
      </w:r>
    </w:p>
    <w:p>
      <w:pPr>
        <w:pStyle w:val="BodyText"/>
      </w:pPr>
      <w:r>
        <w:t xml:space="preserve">Колір і структуру сухих яєчних продуктів визначають при денному освітленні, звертаючи увагу на однорідність забарвлення і структуру — наявність грудочок, що легко розсипаються при натисканні.</w:t>
      </w:r>
    </w:p>
    <w:p>
      <w:pPr>
        <w:pStyle w:val="BodyText"/>
      </w:pPr>
      <w:r>
        <w:t xml:space="preserve">Смак визначають в охолодженому до кімнатної температури коржику, випеченому із розведеного водою сухого зразка. З цією метою 20 г яєчного порошку (яєчного білка) або 50 г сухого жовтка розтирають із 80 мл води при 20°С, ретельно перемішують і залишають для набухання 15 хв. Перед запіканням суміш знову перемішують. Яєчну суміш запікають при температурі 154±2 °С протягом 8—10 хв.</w:t>
      </w:r>
    </w:p>
    <w:p>
      <w:pPr>
        <w:pStyle w:val="BodyText"/>
      </w:pPr>
      <w:r>
        <w:t xml:space="preserve">Запах визначають органолептично. Для цього в склянку поміщають 20 г наважки, заливають 20 мл киплячої води. Суміш перемішують скляною паличкою і визначають запах.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Layout w:type="autofit"/>
      </w:tblPr>
      <w:tr>
        <w:trPr>
          <w:tblHeader w:val="true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Показник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Характеристика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Яєчного порошку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Білка яєчного сухого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Жовтка яєчного сухого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Колір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Від світло-жовтого до яскраво-жовтого, однорідний по всій масі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Жовтувато-білий, однорідний по всій масі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Від світло-жовтого до жовтого з оранжевим відтінком, однорідний по всій масі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Структура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Порошкоподібна, грудочки легко роздавлюються.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Порошкоподібна, без грудочок.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Порошкоподібна, грудочки легко роздавлюються.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Запах, смак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Властиві свіже висушеному, без стороннього присмаку та запаху.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Властиві висушеному, без стороннього присмаку та запаху.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Властиві свіже висушеному, без стороннього присмаку та запаху.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Кислотність, 0Т, не більше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Величина рН, не менше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Вміст вологи, %, не більше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4-8,5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Розчинність (в перерахунку на сухі речовини), %: не менше, не більше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Вміст білкових речовин (в перерахунку на сухі речовини), %, не менше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Вміст жиру (в перерахунку на сухі речовини), %, не менше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сліди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Вміст золи (в перерахунку на сухі речовини), %, не більше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0,1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0,1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Вміст бактерій групи кишкової палички не допускається в масі продукту, г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—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Кількість сальмонел в 25 г продукту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Не допускається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Не допускається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Не допускається</w:t>
            </w:r>
          </w:p>
        </w:tc>
      </w:tr>
    </w:tbl>
    <w:p>
      <w:pPr>
        <w:pStyle w:val="Heading2"/>
      </w:pPr>
      <w:r>
        <w:t xml:space="preserve">Физико-хімічні дослідження</w:t>
      </w:r>
    </w:p>
    <w:p>
      <w:pPr>
        <w:pStyle w:val="Heading3"/>
      </w:pPr>
      <w:r>
        <w:t xml:space="preserve">Опис: Застосування інструментальних методів для вимірювання параметрів</w:t>
      </w:r>
    </w:p>
    <w:p>
      <w:pPr>
        <w:pStyle w:val="FirstParagraph"/>
      </w:pPr>
      <w:r>
        <w:t xml:space="preserve">Наприклад: зазначено, що при оцінці якості визначають кислотність, рН, розчинність і хімічний склад продуктів</w:t>
      </w:r>
    </w:p>
    <w:p>
      <w:pPr>
        <w:pStyle w:val="BodyText"/>
      </w:pPr>
      <w:r>
        <w:t xml:space="preserve">При оцінці якості яєчних сухих продуктів визначають їх кислотність, рН, розчинність і хімічний склад.</w:t>
      </w:r>
    </w:p>
    <w:p>
      <w:pPr>
        <w:pStyle w:val="Heading3"/>
      </w:pPr>
      <w:r>
        <w:t xml:space="preserve">Визначення кислотності</w:t>
      </w:r>
    </w:p>
    <w:p>
      <w:pPr>
        <w:pStyle w:val="Heading4"/>
      </w:pPr>
      <w:r>
        <w:t xml:space="preserve">Опис: Опис методики вимірювання концентрації кислот</w:t>
      </w:r>
    </w:p>
    <w:p>
      <w:pPr>
        <w:pStyle w:val="FirstParagraph"/>
      </w:pPr>
      <w:r>
        <w:t xml:space="preserve">Наприклад: представлено метод нейтралізації водного розчину продукту лугом та формула для розрахунку кислотності в градусах Тернера</w:t>
      </w:r>
    </w:p>
    <w:p>
      <w:pPr>
        <w:pStyle w:val="BodyText"/>
      </w:pPr>
      <w:r>
        <w:t xml:space="preserve">Кислотність яєчних сухих продуктів залежить від властивостей сировини, режимних параметрів пастеризації і сушки, при якій може виділятися діоксид вуглецю.</w:t>
      </w:r>
    </w:p>
    <w:p>
      <w:pPr>
        <w:pStyle w:val="BodyText"/>
      </w:pPr>
      <w:r>
        <w:t xml:space="preserve">Метод заснований на нейтралізації водного розчину яєчних сухих продуктів певною кількістю лугу.</w:t>
      </w:r>
    </w:p>
    <w:p>
      <w:pPr>
        <w:pStyle w:val="BodyText"/>
      </w:pPr>
      <w:r>
        <w:t xml:space="preserve">Порядок виконання роботи. 5 г яєчного порошку (або 2,5 г білка сухого, або 10 г жовтка сухого, узятих з точністю до 0,001 г розтирають в ступці з невеликою кількістю дистильованої води кімнатної температури, протягом 3-5 хв., кількісно переносять в мірну колбу місткістю 250 мл і об’єм доводять до мітки. Закривши колбу пробкою, вміст збовтують 25—30 хв. на апараті для струшування 20 мл суміші поміщають в колбу, підливають 20 мл дистильованої води, і титрують 0,01 М розчином гідроксиду натрію у присутності фенолфталеїну до появи рожево-оранжевого забарвлення.</w:t>
      </w:r>
    </w:p>
    <w:p>
      <w:pPr>
        <w:pStyle w:val="BodyText"/>
      </w:pPr>
      <w:r>
        <w:t xml:space="preserve">Кислотність сухих яєчних продуктів виражають в градусах Тернера (°Т). За 1 °Т приймають кількість мл 0,1 М розчину гідроксиду натрію або калію, витрачену на титрування 100 г продукту.</w:t>
      </w:r>
    </w:p>
    <w:p>
      <w:pPr>
        <w:pStyle w:val="BodyText"/>
      </w:pPr>
      <w:r>
        <w:t xml:space="preserve">Кислотність (в 0Т) обчислюють за формулою:</w:t>
      </w:r>
    </w:p>
    <w:p>
      <w:pPr>
        <w:pStyle w:val="BodyText"/>
      </w:pP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r>
              <m:t>K</m:t>
            </m:r>
            <m:r>
              <m:rPr>
                <m:sty m:val="p"/>
              </m:rPr>
              <m:t>⋅</m:t>
            </m:r>
            <m:r>
              <m:t>10</m:t>
            </m:r>
          </m:num>
          <m:den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⋅</m:t>
            </m:r>
            <m:r>
              <m:t>V</m:t>
            </m:r>
          </m:den>
        </m:f>
      </m:oMath>
    </w:p>
    <w:p>
      <w:pPr>
        <w:pStyle w:val="BodyText"/>
      </w:pPr>
      <w:r>
        <w:t xml:space="preserve">де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об’єм 0,01 М розчину гідроксиду натрію або калію, що пішов на титрування, мл;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коефіцієнт перерахунку на точно 0,01 М розчин гідроксиду натрію або калію;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маса наважки, г;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— коефіцієнт для перерахунку 0,01 М розчину в 0,1 М;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- обєм суміші, взятий для титрування, мл.</w:t>
      </w:r>
    </w:p>
    <w:p>
      <w:pPr>
        <w:pStyle w:val="BodyText"/>
      </w:pPr>
      <w:r>
        <w:t xml:space="preserve">Розбіжність між паралельними визначеннями не повинна перевищувати ±0,3 °Т.</w:t>
      </w:r>
    </w:p>
    <w:p>
      <w:pPr>
        <w:pStyle w:val="Heading3"/>
      </w:pPr>
      <w:r>
        <w:t xml:space="preserve">Визначення величини рН</w:t>
      </w:r>
    </w:p>
    <w:p>
      <w:pPr>
        <w:pStyle w:val="Heading4"/>
      </w:pPr>
      <w:r>
        <w:t xml:space="preserve">Опис: Процедура вимірювання водневого показника розчину</w:t>
      </w:r>
    </w:p>
    <w:p>
      <w:pPr>
        <w:pStyle w:val="FirstParagraph"/>
      </w:pPr>
      <w:r>
        <w:t xml:space="preserve">Наприклад: вказано, що рН визначають у 1%-вому розчині сухого білка потенціометричним методом</w:t>
      </w:r>
    </w:p>
    <w:p>
      <w:pPr>
        <w:pStyle w:val="BodyText"/>
      </w:pPr>
      <w:r>
        <w:t xml:space="preserve">Величину рН визначають в 1 %-вому розчині сухого білка при 20 + 2 0С методом потенціометра.</w:t>
      </w:r>
    </w:p>
    <w:p>
      <w:pPr>
        <w:pStyle w:val="BodyText"/>
      </w:pPr>
      <w:r>
        <w:t xml:space="preserve">Допустима розбіжність між паралельними визначеннями не повинне перевищувати ±0,2.</w:t>
      </w:r>
    </w:p>
    <w:p>
      <w:pPr>
        <w:pStyle w:val="Heading3"/>
      </w:pPr>
      <w:r>
        <w:t xml:space="preserve">Визначення розчинності</w:t>
      </w:r>
    </w:p>
    <w:p>
      <w:pPr>
        <w:pStyle w:val="Heading4"/>
      </w:pPr>
      <w:r>
        <w:t xml:space="preserve">Опис: Опис способів встановлення здатності речовини утворювати розчин</w:t>
      </w:r>
    </w:p>
    <w:p>
      <w:pPr>
        <w:pStyle w:val="FirstParagraph"/>
      </w:pPr>
      <w:r>
        <w:t xml:space="preserve">Наприклад: пояснено, що розчинність залежить від денатурації білків і визначається арбітражним та експрес-методом</w:t>
      </w:r>
    </w:p>
    <w:p>
      <w:pPr>
        <w:pStyle w:val="BodyText"/>
      </w:pPr>
      <w:r>
        <w:t xml:space="preserve">Розчинність яєчних сухих продуктів залежить від ступеня змін денатурації білків і розвитку реакцій меланоїдиноутворень, що виникають в процесі сушки і зберігання висушеного продукту. Зменшення розчинності позначається на пониженні піноутворювальної здатності білків.</w:t>
      </w:r>
    </w:p>
    <w:p>
      <w:pPr>
        <w:pStyle w:val="Heading5"/>
      </w:pPr>
      <w:r>
        <w:t xml:space="preserve">А р б і т р а ж н и й метод</w:t>
      </w:r>
    </w:p>
    <w:p>
      <w:pPr>
        <w:pStyle w:val="Heading6"/>
      </w:pPr>
      <w:r>
        <w:t xml:space="preserve">Опис: Опис еталонної або стандартної процедури вимірювання</w:t>
      </w:r>
    </w:p>
    <w:p>
      <w:pPr>
        <w:pStyle w:val="FirstParagraph"/>
      </w:pPr>
      <w:r>
        <w:t xml:space="preserve">Наприклад: метод заснований на визначенні сухих речовин у водному розчині після центрифугування та висушування</w:t>
      </w:r>
    </w:p>
    <w:p>
      <w:pPr>
        <w:pStyle w:val="BodyText"/>
      </w:pPr>
      <w:r>
        <w:t xml:space="preserve">Дані відсутні.</w:t>
      </w:r>
    </w:p>
    <w:p>
      <w:pPr>
        <w:pStyle w:val="Heading5"/>
      </w:pPr>
      <w:r>
        <w:t xml:space="preserve">Експрес-метод</w:t>
      </w:r>
    </w:p>
    <w:p>
      <w:pPr>
        <w:pStyle w:val="Heading6"/>
      </w:pPr>
      <w:r>
        <w:t xml:space="preserve">Опис: Опис прискореної методики для швидкого отримання результатів</w:t>
      </w:r>
    </w:p>
    <w:p>
      <w:pPr>
        <w:pStyle w:val="FirstParagraph"/>
      </w:pPr>
      <w:r>
        <w:t xml:space="preserve">Наприклад: розчинність визначається по індексу, що розраховується на основі різниці показників заломлення розчинів</w:t>
      </w:r>
    </w:p>
    <w:p>
      <w:pPr>
        <w:pStyle w:val="BodyText"/>
      </w:pPr>
      <w:r>
        <w:t xml:space="preserve">Дані відсутні.</w:t>
      </w:r>
    </w:p>
    <w:p>
      <w:pPr>
        <w:pStyle w:val="Heading3"/>
      </w:pPr>
      <w:r>
        <w:t xml:space="preserve">Визначення вмісту вологи</w:t>
      </w:r>
    </w:p>
    <w:p>
      <w:pPr>
        <w:pStyle w:val="Heading4"/>
      </w:pPr>
      <w:r>
        <w:t xml:space="preserve">Опис: Опис методів для кількісного аналізу води в зразку</w:t>
      </w:r>
    </w:p>
    <w:p>
      <w:pPr>
        <w:pStyle w:val="FirstParagraph"/>
      </w:pPr>
      <w:r>
        <w:t xml:space="preserve">Наприклад: зазначено, що вологість лімітується стандартом і визначається арбітражним та експрес-методом висушування</w:t>
      </w:r>
    </w:p>
    <w:p>
      <w:pPr>
        <w:pStyle w:val="BodyText"/>
      </w:pPr>
      <w:r>
        <w:t xml:space="preserve">Вологість лімітується стандартом і визначається арбітражним та експрес-методом висушування.</w:t>
      </w:r>
    </w:p>
    <w:p>
      <w:pPr>
        <w:pStyle w:val="Heading5"/>
      </w:pPr>
      <w:r>
        <w:t xml:space="preserve">А р б і т р а ж н и й метод</w:t>
      </w:r>
    </w:p>
    <w:p>
      <w:pPr>
        <w:pStyle w:val="Heading6"/>
      </w:pPr>
      <w:r>
        <w:t xml:space="preserve">Опис: Опис еталонної або стандартної процедури вимірювання</w:t>
      </w:r>
    </w:p>
    <w:p>
      <w:pPr>
        <w:pStyle w:val="FirstParagraph"/>
      </w:pPr>
      <w:r>
        <w:t xml:space="preserve">Наприклад: наважку висушують у сушильній шафі при 103±2 °С до постійної маси для розрахунку вмісту вологи</w:t>
      </w:r>
    </w:p>
    <w:p>
      <w:pPr>
        <w:pStyle w:val="BodyText"/>
      </w:pPr>
      <w:r>
        <w:t xml:space="preserve">Наважку висушують у сушильній шафі при 103±2 °С до постійної маси для розрахунку вмісту вологи.</w:t>
      </w:r>
    </w:p>
    <w:p>
      <w:pPr>
        <w:pStyle w:val="Heading5"/>
      </w:pPr>
      <w:r>
        <w:t xml:space="preserve">Експрес-метод</w:t>
      </w:r>
    </w:p>
    <w:p>
      <w:pPr>
        <w:pStyle w:val="Heading6"/>
      </w:pPr>
      <w:r>
        <w:t xml:space="preserve">Опис: Опис прискореної методики для швидкого отримання результатів</w:t>
      </w:r>
    </w:p>
    <w:p>
      <w:pPr>
        <w:pStyle w:val="FirstParagraph"/>
      </w:pPr>
      <w:r>
        <w:t xml:space="preserve">Наприклад: наважку сухого продукту висушують при 180±5 °С протягом 20 хвилин</w:t>
      </w:r>
    </w:p>
    <w:p>
      <w:pPr>
        <w:pStyle w:val="BodyText"/>
      </w:pPr>
      <w:r>
        <w:t xml:space="preserve">Наважку сухого продукту висушують при 180±5 °С протягом 20 хвилин.</w:t>
      </w:r>
    </w:p>
    <w:p>
      <w:pPr>
        <w:pStyle w:val="Heading1"/>
      </w:pPr>
      <w:r>
        <w:t xml:space="preserve">Протокол роботи</w:t>
      </w:r>
    </w:p>
    <w:p>
      <w:pPr>
        <w:pStyle w:val="Heading3"/>
      </w:pPr>
      <w:r>
        <w:t xml:space="preserve">Опис: Формалізація результатів та висновків проведеного дослідження</w:t>
      </w:r>
    </w:p>
    <w:p>
      <w:pPr>
        <w:pStyle w:val="FirstParagraph"/>
      </w:pPr>
      <w:r>
        <w:t xml:space="preserve">Наприклад: вказано, що протокол має включати заповнення таблиці 3 та формулювання висновків по роботі</w:t>
      </w:r>
    </w:p>
    <w:p>
      <w:pPr>
        <w:pStyle w:val="BodyText"/>
      </w:pPr>
      <w:r>
        <w:t xml:space="preserve">Протокол має включати заповнення таблиці 3 та формулювання висновків по роботі.</w:t>
      </w:r>
    </w:p>
    <w:p>
      <w:pPr>
        <w:pStyle w:val="Heading3"/>
      </w:pPr>
      <w:r>
        <w:t xml:space="preserve">1 Органолептичні показники сухих яєчних продуктів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Layout w:type="autofit"/>
      </w:tblPr>
      <w:tr>
        <w:trPr>
          <w:tblHeader w:val="true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Показник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Характеристика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Яєчного порошку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Білка яєчного сухого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Жовтка яєчного сухого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Колір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Структура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Запах, смак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</w:tbl>
    <w:p>
      <w:pPr>
        <w:pStyle w:val="Heading3"/>
      </w:pPr>
      <w:r>
        <w:t xml:space="preserve">2 Физико-хімічні показники сухих яєчних продуктів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Layout w:type="autofit"/>
      </w:tblPr>
      <w:tr>
        <w:trPr>
          <w:tblHeader w:val="true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Показник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Одиниця вимірювання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Яєчного порошку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Білка яєчного сухого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Жовтка яєчного сухого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Кислотність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°Т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Величина рН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Вміст вологи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%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Розчинність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%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Вміст білкових речовин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%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Вміст жиру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%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Вміст золи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%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</w:tbl>
    <w:p>
      <w:pPr>
        <w:pStyle w:val="Heading3"/>
      </w:pPr>
      <w:r>
        <w:t xml:space="preserve">3 Висновки</w:t>
      </w:r>
    </w:p>
    <w:tbl>
      <w:tblPr>
        <w:tblStyle w:val="Table"/>
        <w:tblLook w:firstRow="1" w:lastRow="0" w:firstColumn="0" w:lastColumn="0" w:noHBand="0" w:noVBand="0" w:val="0020"/>
        <w:jc w:val="start"/>
        <w:tblW w:w="5000" w:type="pct"/>
        <w:tblLayout w:type="autofit"/>
      </w:tblPr>
      <w:tr>
        <w:trPr>
          <w:tblHeader w:val="true"/>
        </w:trP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Пункт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Висновок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  <w:r>
              <w:rPr>
                <w:rFonts w:ascii="Arial" w:hAnsi="Arial"/>
                <w:color w:val="000000"/>
                <w:sz w:val="24"/>
              </w:rPr>
              <w:t xml:space="preserve"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tcMar>
              <w:top w:w="11" w:type="dxa"/>
              <w:left w:w="11" w:type="dxa"/>
              <w:bottom w:w="11" w:type="dxa"/>
              <w:right w:w="11" w:type="dxa"/>
            </w:tcMar>
          </w:tcPr>
          <w:p>
            <w:pPr>
              <w:pStyle w:val="Compact"/>
              <w:spacing w:line="240" w:lineRule="auto" w:before="0" w:after="0"/>
              <w:ind w:firstLine="0"/>
              <w:jc w:val="center"/>
            </w:pPr>
          </w:p>
        </w:tc>
      </w:tr>
    </w:tbl>
    <w:sectPr w:rsidR="00FC693F" w:rsidRPr="0006063C" w:rsidSect="00034616">
      <w:pgSz w:h="15840" w:w="12240"/>
      <w:pgMar w:bottom="1440" w:footer="720" w:gutter="0" w:header="720" w:left="1134" w:right="56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Arial" w:hAnsi="Arial"/>
      <w:b w:val="0"/>
      <w:i w:val="0"/>
      <w:color w:val="000000"/>
      <w:sz w:val="28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Arial" w:hAnsi="Arial"/>
      <w:b w:val="0"/>
      <w:i w:val="0"/>
      <w:color w:val="000000"/>
      <w:sz w:val="28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0" w:line="360" w:lineRule="auto"/>
      <w:ind w:firstLine="709" w:left="0" w:right="0"/>
      <w:outlineLvl w:val="0"/>
    </w:pPr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1"/>
    </w:pPr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2"/>
    </w:pPr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3"/>
    </w:pPr>
    <w:rPr>
      <w:rFonts w:ascii="Arial" w:asciiTheme="majorHAnsi" w:cstheme="majorBidi" w:eastAsiaTheme="majorEastAsia" w:hAnsi="Arial" w:hAnsiTheme="majorHAnsi"/>
      <w:b w:val="0"/>
      <w:bCs/>
      <w:i w:val="0"/>
      <w:iCs/>
      <w:color w:val="000000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4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5"/>
    </w:pPr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6"/>
    </w:pPr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7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0" w:line="360" w:lineRule="auto"/>
      <w:ind w:firstLine="709" w:left="0" w:right="0"/>
      <w:outlineLvl w:val="8"/>
    </w:pPr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Arial" w:hAnsi="Arial"/>
      <w:b w:val="0"/>
      <w:i w:val="0"/>
      <w:color w:val="000000"/>
      <w:sz w:val="28"/>
    </w:rPr>
  </w:style>
  <w:style w:default="1" w:styleId="TableNormal" w:type="table">
    <w:name w:val="Normal Table"/>
    <w:uiPriority w:val="99"/>
    <w:semiHidden/>
    <w:unhideWhenUsed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Arial" w:asciiTheme="majorHAnsi" w:cstheme="majorBidi" w:eastAsiaTheme="majorEastAsia" w:hAnsi="Arial" w:hAnsiTheme="majorHAnsi"/>
      <w:b w:val="0"/>
      <w:bCs/>
      <w:i w:val="0"/>
      <w:color w:val="000000"/>
      <w:sz w:val="28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0" w:before="0" w:line="360" w:lineRule="auto"/>
      <w:ind w:firstLine="709" w:left="0" w:right="0"/>
      <w:contextualSpacing/>
    </w:pPr>
    <w:rPr>
      <w:rFonts w:ascii="Arial" w:asciiTheme="majorHAnsi" w:cstheme="majorBidi" w:eastAsiaTheme="majorEastAsia" w:hAnsi="Arial" w:hAnsiTheme="majorHAnsi"/>
      <w:b w:val="0"/>
      <w:i w:val="0"/>
      <w:color w:val="000000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Arial" w:asciiTheme="majorHAnsi" w:cstheme="majorBidi" w:eastAsiaTheme="majorEastAsia" w:hAnsi="Arial" w:hAnsiTheme="majorHAnsi"/>
      <w:b w:val="0"/>
      <w:i w:val="0"/>
      <w:color w:val="000000"/>
      <w:spacing w:val="5"/>
      <w:kern w:val="28"/>
      <w:sz w:val="28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iCs/>
      <w:color w:val="00000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Arial" w:asciiTheme="majorHAnsi" w:cstheme="majorBidi" w:eastAsiaTheme="majorEastAsia" w:hAnsi="Arial" w:hAnsiTheme="majorHAnsi"/>
      <w:b w:val="0"/>
      <w:i w:val="0"/>
      <w:iCs/>
      <w:color w:val="000000"/>
      <w:spacing w:val="15"/>
      <w:sz w:val="28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Arial" w:hAnsi="Arial"/>
      <w:b w:val="0"/>
      <w:i w:val="0"/>
      <w:color w:val="000000"/>
      <w:sz w:val="28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Arial" w:hAnsi="Arial"/>
      <w:b w:val="0"/>
      <w:i w:val="0"/>
      <w:color w:val="000000"/>
      <w:sz w:val="28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Arial" w:hAnsi="Arial"/>
      <w:b w:val="0"/>
      <w:i w:val="0"/>
      <w:color w:val="000000"/>
      <w:sz w:val="28"/>
      <w:szCs w:val="16"/>
    </w:rPr>
  </w:style>
  <w:style w:styleId="List" w:type="paragraph">
    <w:name w:val="List"/>
    <w:basedOn w:val="Normal"/>
    <w:uiPriority w:val="99"/>
    <w:unhideWhenUsed/>
    <w:rsid w:val="00AA1D8D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2" w:type="paragraph">
    <w:name w:val="List 2"/>
    <w:basedOn w:val="Normal"/>
    <w:uiPriority w:val="99"/>
    <w:unhideWhenUsed/>
    <w:rsid w:val="00326F90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3" w:type="paragraph">
    <w:name w:val="List 3"/>
    <w:basedOn w:val="Normal"/>
    <w:uiPriority w:val="99"/>
    <w:unhideWhenUsed/>
    <w:rsid w:val="00326F90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Continue" w:type="paragraph">
    <w:name w:val="List Continue"/>
    <w:basedOn w:val="Normal"/>
    <w:uiPriority w:val="99"/>
    <w:unhideWhenUsed/>
    <w:rsid w:val="0029639D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0" w:before="0" w:line="360" w:lineRule="auto"/>
      <w:ind w:firstLine="709" w:left="0" w:right="0"/>
      <w:contextualSpacing/>
    </w:pPr>
    <w:rPr>
      <w:rFonts w:ascii="Arial" w:hAnsi="Arial"/>
      <w:b w:val="0"/>
      <w:i w:val="0"/>
      <w:color w:val="000000"/>
      <w:sz w:val="28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Arial" w:hAnsi="Arial"/>
      <w:b w:val="0"/>
      <w:i w:val="0"/>
      <w:color w:val="000000"/>
      <w:sz w:val="28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iCs/>
      <w:color w:val="000000"/>
      <w:sz w:val="28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Arial" w:hAnsi="Arial"/>
      <w:b w:val="0"/>
      <w:i w:val="0"/>
      <w:iCs/>
      <w:color w:val="000000"/>
      <w:sz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bCs/>
      <w:i w:val="0"/>
      <w:iCs/>
      <w:color w:val="000000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i w:val="0"/>
      <w:color w:val="000000"/>
      <w:sz w:val="28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Arial" w:asciiTheme="majorHAnsi" w:cstheme="majorBidi" w:eastAsiaTheme="majorEastAsia" w:hAnsi="Arial" w:hAnsiTheme="majorHAnsi"/>
      <w:b w:val="0"/>
      <w:i w:val="0"/>
      <w:iCs/>
      <w:color w:val="000000"/>
      <w:sz w:val="28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bCs/>
      <w:i w:val="0"/>
      <w:color w:val="000000"/>
      <w:sz w:val="2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Arial" w:hAnsi="Arial"/>
      <w:b w:val="0"/>
      <w:bCs/>
      <w:i w:val="0"/>
      <w:color w:val="000000"/>
      <w:sz w:val="28"/>
    </w:rPr>
  </w:style>
  <w:style w:styleId="Emphasis" w:type="character">
    <w:name w:val="Emphasis"/>
    <w:basedOn w:val="DefaultParagraphFont"/>
    <w:uiPriority w:val="20"/>
    <w:qFormat/>
    <w:rsid w:val="00FC693F"/>
    <w:rPr>
      <w:rFonts w:ascii="Arial" w:hAnsi="Arial"/>
      <w:b w:val="0"/>
      <w:i w:val="0"/>
      <w:iCs/>
      <w:color w:val="000000"/>
      <w:sz w:val="2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0" w:before="0" w:line="360" w:lineRule="auto"/>
      <w:ind w:firstLine="709" w:left="0" w:right="0"/>
    </w:pPr>
    <w:rPr>
      <w:rFonts w:ascii="Arial" w:hAnsi="Arial"/>
      <w:b w:val="0"/>
      <w:bCs/>
      <w:i w:val="0"/>
      <w:iCs/>
      <w:color w:val="000000"/>
      <w:sz w:val="28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Arial" w:hAnsi="Arial"/>
      <w:b w:val="0"/>
      <w:bCs/>
      <w:i w:val="0"/>
      <w:iCs/>
      <w:color w:val="000000"/>
      <w:sz w:val="28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Arial" w:hAnsi="Arial"/>
      <w:b w:val="0"/>
      <w:i w:val="0"/>
      <w:iCs/>
      <w:color w:val="000000"/>
      <w:sz w:val="28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Arial" w:hAnsi="Arial"/>
      <w:b w:val="0"/>
      <w:bCs/>
      <w:i w:val="0"/>
      <w:iCs/>
      <w:color w:val="000000"/>
      <w:sz w:val="28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Arial" w:hAnsi="Arial"/>
      <w:b w:val="0"/>
      <w:i w:val="0"/>
      <w:smallCaps/>
      <w:color w:val="000000"/>
      <w:sz w:val="28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Arial" w:hAnsi="Arial"/>
      <w:b w:val="0"/>
      <w:bCs/>
      <w:i w:val="0"/>
      <w:smallCaps/>
      <w:color w:val="000000"/>
      <w:spacing w:val="5"/>
      <w:sz w:val="28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Arial" w:hAnsi="Arial"/>
      <w:b w:val="0"/>
      <w:bCs/>
      <w:i w:val="0"/>
      <w:smallCaps/>
      <w:color w:val="000000"/>
      <w:spacing w:val="5"/>
      <w:sz w:val="28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0" w:before="0" w:line="360" w:lineRule="auto"/>
      <w:ind w:firstLine="709" w:left="0" w:right="0"/>
      <w:outlineLvl w:val="9"/>
    </w:pPr>
    <w:rPr>
      <w:rFonts w:ascii="Arial" w:hAnsi="Arial"/>
      <w:b w:val="0"/>
      <w:i w:val="0"/>
      <w:color w:val="000000"/>
      <w:sz w:val="28"/>
    </w:rPr>
  </w:style>
  <w:style w:styleId="TableGrid" w:type="table">
    <w:name w:val="Table Grid"/>
    <w:basedOn w:val="TableNormal"/>
    <w:uiPriority w:val="59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before="0" w:line="360" w:lineRule="auto"/>
      <w:ind w:firstLine="709" w:left="0" w:right="0"/>
    </w:pPr>
    <w:rPr>
      <w:rFonts w:ascii="Arial" w:asciiTheme="majorHAnsi" w:cstheme="majorBidi" w:eastAsiaTheme="majorEastAsia" w:hAnsi="Arial" w:hAnsiTheme="majorHAnsi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before="0" w:line="360" w:lineRule="auto"/>
      <w:ind w:firstLine="709" w:left="0" w:right="0"/>
    </w:pPr>
    <w:rPr>
      <w:rFonts w:ascii="Arial" w:hAnsi="Arial"/>
      <w:b w:val="0"/>
      <w:i w:val="0"/>
      <w:color w:val="000000"/>
      <w:sz w:val="28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2026-04-28T16:04:31Z</dcterms:created>
  <dcterms:modified xsi:type="dcterms:W3CDTF">2026-04-28T16:04:31Z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