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Налаштування DHCP в контейнері на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Покроковий алгоритм налаштування DHCP в контейнері на Docker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В даній роботі не буде показано процес налаштування безпосередньо DHCP так як покроковий алгоритм був виконаний в попередній роботі(ПЗ 1.15)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apt install docker.io 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88738" cy="9165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738" cy="916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0425" cy="13150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build -t dhcp-container 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-d --name dhcp-server dhcp-container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–d –-name dhcp-server-ens33 dhcp-container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91200" cy="14644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24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64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left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left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  <w:t xml:space="preserve">Перевіримо можливість взаємодії сервера з клієнтом:</w:t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>
          <w:b w:val="1"/>
          <w:highlight w:val="green"/>
        </w:rPr>
      </w:pPr>
      <w:r w:rsidDel="00000000" w:rsidR="00000000" w:rsidRPr="00000000">
        <w:rPr/>
        <w:drawing>
          <wp:inline distB="0" distT="0" distL="0" distR="0">
            <wp:extent cx="5186587" cy="22240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9510" l="-169" r="37164" t="9029"/>
                    <a:stretch>
                      <a:fillRect/>
                    </a:stretch>
                  </pic:blipFill>
                  <pic:spPr>
                    <a:xfrm>
                      <a:off x="0" y="0"/>
                      <a:ext cx="5186587" cy="2224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