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ДОГОВІР №{{contract_number}}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 надання в тимчасове користування ліжко-місця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студентському гуртожитку Національного університету «Львівська політехніка»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м. Львів                                                                                    </w:t>
        <w:tab/>
        <w:t xml:space="preserve"> </w:t>
        <w:tab/>
        <w:t xml:space="preserve">      {{contract_date}}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Національний університет «Львівська політехніка», в особі директора студмістечка Поліщука Богдана Васильовича, який діє на підставі наказу, (далі Університет) та здобувач освіти {{full_name}} (паспорт: {{passport_data}}, {{passport_record_number}}, {{passport_issued_by}}, {{passport_issued_date}}),  {{institute}} курc {{course}}.</w:t>
      </w:r>
    </w:p>
    <w:p w:rsidR="00000000" w:rsidDel="00000000" w:rsidP="00000000" w:rsidRDefault="00000000" w:rsidRPr="00000000" w14:paraId="00000006">
      <w:pPr>
        <w:tabs>
          <w:tab w:val="left" w:leader="none" w:pos="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(далі Сторони) уклали цей договір про наступне: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leader="none" w:pos="0"/>
        </w:tabs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ПРЕДМЕТ ДОГОВОРУ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Університет надає, а Здобувач освіти приймає в тимчасове користування ліжко-місце в кімнаті для проживання, та місця загального користування, укомплектовані меблями, сантехнічним та електротехнічним обладнанням в гуртожитку № {{dormitory_number}} за адресою: {{dormitory_address}}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Передача житлового приміщення (ліжко-місця, кімнати) в тимчасове користування не тягне за собою виникнення в Здобувача освіти права власності на житлове приміщення. Здобувач освіти не має права приватизувати, обмінювати та здійснювати поділ цього житлового приміщення, здавати його в піднайм або вселяти в нього інших мешканців.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виселенні Здобувач освіти зобов’язаний повернути Університету житлове приміщення та майно, у справному стані.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0"/>
        </w:tabs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ПРАВА СТОРІН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Університет має право: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Вимагати від Здобувача освіти дотримання Правил внутрішнього розпорядку та своєчасного внесення ним плати за проживання.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Періодично перевіряти санітарний та технічний стан наданого Здобувачеві освіти житлового приміщення.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 випадку проведення Університетом капітальних або поточних ремонтних робіт переселити Здобувача освіти в інше житлове приміщення на час проведення ремонту. 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Достроково припинити дію Договору в порядку, встановленому цим Договором.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Здобувач освіти має право: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Користуватись житловим приміщенням, місцями загального користування та житлово-комунальними послугами згідно умов Договору.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Проводити поточний ремонт в кімнаті за погодженням з адміністрацією Студентського містечка Університету.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Вимагати від власника гуртожитку забезпечення належних умов для проживання.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leader="none" w:pos="0"/>
        </w:tabs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ОБОВ’ЯЗКИ СТОРІН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Університет зобов’язаний: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Утримувати гуртожиток відповідно до встановлених санітарних правил та норм.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Надавати Здобувачу освіти житлово-комунальні послуги згідно чинних  норм. 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Своєчасно проводити підготовку гуртожитку і його технічного обладнання до експлуатації в осінньо-зимовий період.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Створити умови для безперешкодного користування мешканцями гуртожитку місцями загального користування, які належать до майна гуртожитку.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Зберігати дублікати ключів від житлових приміщень у коменданта гуртожитку, який несе за них відповідальність.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Університет не несе відповідальності за крадіжку майна, яке належить мешканцю.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Здобувач освіти зобов’язаний: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Дбайливо ставитись до житлового приміщення, меблів, обладнання та інвентарю. У випадку псування або пошкодження меблів, сантехнічного та електрообладнання, залиття кімнати або місць загального користування з вини Здобувача освіти відшкодувати матеріальний збиток або сплатити на рахунок Університету вартість ремонту чи втраченого майна  відповідно до дефектного акту.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Дотримуватись та виконувати Положення про порядок поселення в гуртожитки Студентського містечка Національного університету «Львівська політехніка», Правила внутрішнього розпорядку, Правила пожежної безпеки.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Підтримувати чистоту та порядок в житловій кімнаті та місцях загального користування.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Своєчасно та в повному обсязі вносити плату за проживання та додаткові послуги згідно розділу 5 Договору.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виявленні несправностей сантехнічного та електрообладнання, залиття кімнати або місць загального користування негайно проінформувати чергового по гуртожитку або коменданта гуртожитку, записати заявку на виконання ремонтних робіт.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проводити заміну і додаткову установку дверних замків, не здійснювати переміщення меблів з кімнати в кімнату, не встановлювати додаткове обладнання без згоди коменданта гуртожитку та адміністрації Студентського містечка Університету. Не порушувати цілісність пломб приладів обліку води, тепла та газу, не допускати самовільного втручання в роботу цих приладів.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виселенні повернути коменданту гуртожитку ключі від житлового приміщення.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достроковому припиненні дії Договору виселитись у тижневий термін (7 календарних днів). 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Неухильно дотримуватись послідовності дій за сигналом «Повітряна тривога».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leader="none" w:pos="0"/>
        </w:tabs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ПЛАТА ЗА КОРИСТУВАННЯ ПРИМІЩЕННЯМИ ГУРТОЖИТКУ ТА НАДАНІ ПОСЛУГИ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Розмір вартості послуг за проживання в гуртожитках затверджується наказом ректора Університету на підставі калькуляції вартості за погодженням з органами студентського самоврядування.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Університет, в установленому законодавством порядку, може змінювати розмір та порядок оплати за проживання, інформація про зміни вартості проживання має бути оприлюднена на офіційному сайті Університету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Здобувач освіти вносить оплату посеместрово :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вересень-січень – до 20 вересня поточного навчального року;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0"/>
        </w:tabs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лютий-червень – до 20 лютого поточного навчального року.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Здобувач освіти, який бажає проживати під час літніх канікул, повинен написати відповідну заяву на ім'я директора Студмістечка та оплатити проживання у цей період (до 15 числа кожного місяця проживання).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Університет може розглянути зміни періоду оплати за особистою заявою Здобувача освіти.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Якщо Здобувач освіти належить до пільгових категорій громадян йому, в установленому порядку, надаються пільги по оплаті за проживання відповідно до наказів ректора Університету та чинного законодавства.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leader="none" w:pos="0"/>
        </w:tabs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ВІДПОВІДАЛЬНІСТЬ СТОРІН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 порушення та/або невиконання умов цього Договору Сторони несуть відповідальність згідно з чинним законодавством України.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leader="none" w:pos="0"/>
        </w:tabs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ТЕРМІН ТА ПОРЯДОК ПРИПИНЕННЯ ДІЇ ДОГОВОРУ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Договір вступає в силу з моменту його підписання Сторонами та діє до закінчення поточного навчального року, а в частині відшкодування збитків - до повного виконання Здобувачем освіти своїх зобов’язань.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Договір може бути продовжений на наступний навчальний рік за особистою заявою Здобувача освіти, на підставі рішення комісії з поселення відповідного інституту або комісії з поселення Університету.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Університет в односторонньому порядку має право припинити дію Договору та позбавити Здобувача освіти права на користування ліжко-місцем у таких випадках: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left" w:leader="none" w:pos="0"/>
        </w:tabs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порушення Здобувачем освіти умов цього Договору;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left" w:leader="none" w:pos="0"/>
        </w:tabs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порушення Правил внутрішнього розпорядку Студмістечка;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left" w:leader="none" w:pos="0"/>
        </w:tabs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прострочення Здобувачем освіти оплати за проживання у гуртожитку понад два місяці;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tabs>
          <w:tab w:val="left" w:leader="none" w:pos="0"/>
        </w:tabs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закінчення терміну дії Договору;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tabs>
          <w:tab w:val="left" w:leader="none" w:pos="0"/>
        </w:tabs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завершення навчання та/або відрахування Здобувача освіти з Університету;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tabs>
          <w:tab w:val="left" w:leader="none" w:pos="0"/>
        </w:tabs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надання Здобувачeві освіти академічної відпустки;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tabs>
          <w:tab w:val="left" w:leader="none" w:pos="0"/>
        </w:tabs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власного бажання Здобувача освіти;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tabs>
          <w:tab w:val="left" w:leader="none" w:pos="0"/>
        </w:tabs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виконання рішення Комісії з профілактики правопорушень у Студмістечку;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tabs>
          <w:tab w:val="left" w:leader="none" w:pos="0"/>
        </w:tabs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виконання рішення суду.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tabs>
          <w:tab w:val="left" w:leader="none" w:pos="0"/>
        </w:tabs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ІНШІ УМОВИ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Суперечки, які виникатимуть при виконанні умов Договору, вирішуються Сторонами за домовленістю або в судовому порядку згідно з чинним законодавством України.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tabs>
          <w:tab w:val="left" w:leader="none" w:pos="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Даний Договір укладений в двох примірниках, один з яких знаходиться в Здобувача освіти, інший в Університеті. Примірники Договору мають однакову юридичну силу.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РЕКВІЗИТИ СТОРІН: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10414.0" w:type="dxa"/>
        <w:jc w:val="left"/>
        <w:tblLayout w:type="fixed"/>
        <w:tblLook w:val="0000"/>
      </w:tblPr>
      <w:tblGrid>
        <w:gridCol w:w="4424"/>
        <w:gridCol w:w="538"/>
        <w:gridCol w:w="5452"/>
        <w:tblGridChange w:id="0">
          <w:tblGrid>
            <w:gridCol w:w="4424"/>
            <w:gridCol w:w="538"/>
            <w:gridCol w:w="5452"/>
          </w:tblGrid>
        </w:tblGridChange>
      </w:tblGrid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653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Національний університет 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653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«Львівська політехніка»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317"/>
                <w:tab w:val="left" w:leader="none" w:pos="653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653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Здобувач освіти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653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Директор Студмістечка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317"/>
                <w:tab w:val="left" w:leader="none" w:pos="653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6269"/>
              </w:tabs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{{full_name}}</w:t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79026, м.Львів, вул. Лукаша, 1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317"/>
                <w:tab w:val="left" w:leader="none" w:pos="653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6269"/>
              </w:tabs>
              <w:spacing w:line="240" w:lineRule="auto"/>
              <w:rPr>
                <w:rFonts w:ascii="Times New Roman" w:cs="Times New Roman" w:eastAsia="Times New Roman" w:hAnsi="Times New Roman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Паспорт: {{passport_data}},{{passport_record_number}}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Тел. (032) 238-60-84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317"/>
                <w:tab w:val="left" w:leader="none" w:pos="653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6269"/>
              </w:tabs>
              <w:spacing w:line="240" w:lineRule="auto"/>
              <w:rPr>
                <w:rFonts w:ascii="Times New Roman" w:cs="Times New Roman" w:eastAsia="Times New Roman" w:hAnsi="Times New Roman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Виданий: {{passport_issued_by}}, {{passport_issued_date}}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students.city@lpnu.ua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317"/>
                <w:tab w:val="left" w:leader="none" w:pos="653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6269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Адреса: {{home_add_category}} {{home_add_city}}, вул. {{home_add_street}}, {{home_add_building}}, кв. {{home_add_apartment}}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317"/>
                <w:tab w:val="left" w:leader="none" w:pos="653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6269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Тел.:   {{phone}}</w:t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6533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Богдан ПОЛІЩУК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6269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62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1949"/>
                <w:tab w:val="left" w:leader="none" w:pos="3073"/>
                <w:tab w:val="left" w:leader="none" w:pos="7481"/>
              </w:tabs>
              <w:spacing w:line="240" w:lineRule="auto"/>
              <w:ind w:left="187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2153"/>
                <w:tab w:val="left" w:leader="none" w:pos="3073"/>
                <w:tab w:val="left" w:leader="none" w:pos="7481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(Підпис)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6269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1949"/>
                <w:tab w:val="left" w:leader="none" w:pos="3073"/>
                <w:tab w:val="left" w:leader="none" w:pos="7481"/>
              </w:tabs>
              <w:spacing w:line="240" w:lineRule="auto"/>
              <w:ind w:left="1302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heading=h.omtal0jzu4u0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___________________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62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(Підпис)</w:t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26" w:top="426" w:left="1134" w:right="7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1"/>
        <w:u w:val="none"/>
      </w:rPr>
    </w:lvl>
    <w:lvl w:ilvl="1">
      <w:start w:val="1"/>
      <w:numFmt w:val="decimal"/>
      <w:lvlText w:val="%1.%2."/>
      <w:lvlJc w:val="right"/>
      <w:pPr>
        <w:ind w:left="708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a6">
    <w:name w:val="List Paragraph"/>
    <w:basedOn w:val="a"/>
    <w:uiPriority w:val="34"/>
    <w:qFormat w:val="1"/>
    <w:rsid w:val="005F0ECF"/>
    <w:pPr>
      <w:ind w:left="720"/>
      <w:contextualSpacing w:val="1"/>
    </w:pPr>
  </w:style>
  <w:style w:type="character" w:styleId="a7">
    <w:name w:val="annotation reference"/>
    <w:basedOn w:val="a0"/>
    <w:uiPriority w:val="99"/>
    <w:semiHidden w:val="1"/>
    <w:unhideWhenUsed w:val="1"/>
    <w:rsid w:val="001A4C4F"/>
    <w:rPr>
      <w:sz w:val="16"/>
      <w:szCs w:val="16"/>
    </w:rPr>
  </w:style>
  <w:style w:type="paragraph" w:styleId="a8">
    <w:name w:val="annotation text"/>
    <w:basedOn w:val="a"/>
    <w:link w:val="a9"/>
    <w:uiPriority w:val="99"/>
    <w:semiHidden w:val="1"/>
    <w:unhideWhenUsed w:val="1"/>
    <w:rsid w:val="001A4C4F"/>
    <w:pPr>
      <w:spacing w:line="240" w:lineRule="auto"/>
    </w:pPr>
    <w:rPr>
      <w:sz w:val="20"/>
      <w:szCs w:val="20"/>
    </w:rPr>
  </w:style>
  <w:style w:type="character" w:styleId="a9" w:customStyle="1">
    <w:name w:val="Текст примітки Знак"/>
    <w:basedOn w:val="a0"/>
    <w:link w:val="a8"/>
    <w:uiPriority w:val="99"/>
    <w:semiHidden w:val="1"/>
    <w:rsid w:val="001A4C4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 w:val="1"/>
    <w:unhideWhenUsed w:val="1"/>
    <w:rsid w:val="001A4C4F"/>
    <w:rPr>
      <w:b w:val="1"/>
      <w:bCs w:val="1"/>
    </w:rPr>
  </w:style>
  <w:style w:type="character" w:styleId="ab" w:customStyle="1">
    <w:name w:val="Тема примітки Знак"/>
    <w:basedOn w:val="a9"/>
    <w:link w:val="aa"/>
    <w:uiPriority w:val="99"/>
    <w:semiHidden w:val="1"/>
    <w:rsid w:val="001A4C4F"/>
    <w:rPr>
      <w:b w:val="1"/>
      <w:bCs w:val="1"/>
      <w:sz w:val="20"/>
      <w:szCs w:val="20"/>
    </w:rPr>
  </w:style>
  <w:style w:type="paragraph" w:styleId="ac">
    <w:name w:val="Balloon Text"/>
    <w:basedOn w:val="a"/>
    <w:link w:val="ad"/>
    <w:uiPriority w:val="99"/>
    <w:semiHidden w:val="1"/>
    <w:unhideWhenUsed w:val="1"/>
    <w:rsid w:val="001A4C4F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у виносці Знак"/>
    <w:basedOn w:val="a0"/>
    <w:link w:val="ac"/>
    <w:uiPriority w:val="99"/>
    <w:semiHidden w:val="1"/>
    <w:rsid w:val="001A4C4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RpsZkiV+tn8XPfN39t/tMc1V4Q==">CgMxLjAyDmgub210YWwwanp1NHUwOAByITFDZmhSZzBqSllxZkEtSWdtZDFFLTM5WDY3NTJVM0NKQw==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2025-08-20T10:38:00Z</dcterms:created>
</cp:coreProperties>
</file>