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CD7FA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14F5C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fillcolor="window">
            <v:imagedata r:id="rId6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CD7FA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6FDB070">
          <v:shape id="_x0000_i1026" type="#_x0000_t75" alt="" style="width:10.7pt;height:10.7pt;mso-width-percent:0;mso-height-percent:0;mso-width-percent:0;mso-height-percent:0" fillcolor="window">
            <v:imagedata r:id="rId7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CD7FA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BF87BAD">
          <v:shape id="_x0000_i1025" type="#_x0000_t75" alt="" style="width:43.65pt;height:16.1pt;mso-width-percent:0;mso-height-percent:0;mso-width-percent:0;mso-height-percent:0">
            <v:imagedata r:id="rId8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50D8C60F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3A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1D3312C3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1. Побуду</w:t>
      </w:r>
      <w:r w:rsidR="003A3DAB">
        <w:rPr>
          <w:rFonts w:ascii="Times New Roman" w:hAnsi="Times New Roman" w:cs="Times New Roman"/>
          <w:b/>
          <w:bCs/>
          <w:color w:val="000000" w:themeColor="text1"/>
          <w:lang w:val="uk-UA"/>
        </w:rPr>
        <w:t>вати</w:t>
      </w: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6225364D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392A7BBE" w:rsidR="00213C67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DA0BC1" w14:textId="77777777" w:rsidR="003A3DAB" w:rsidRPr="00871CAD" w:rsidRDefault="003A3DAB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31965EE7" w:rsidR="005F5C59" w:rsidRDefault="003A3DA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3A3DAB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  <w:t>2. Зробити графічне зображення вибірки</w:t>
      </w:r>
    </w:p>
    <w:p w14:paraId="70C39031" w14:textId="27330B90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6C4F4C2E" w14:textId="260B1669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Графічним зображення конкретної реалізації вибірки є гістограма, що складається з прямокутників, які побудовані 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3A3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та мають висоти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den>
        </m:f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– довжина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У нашому випадку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однакове для всіх інтервалів: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=d=1,62</m:t>
        </m:r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Для зручності побудови гістограми </w:t>
      </w:r>
      <w:r w:rsidR="002A62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додаємо до ІВР ще один рядок – висоти.</w:t>
      </w:r>
    </w:p>
    <w:tbl>
      <w:tblPr>
        <w:tblStyle w:val="TableGrid"/>
        <w:tblpPr w:leftFromText="180" w:rightFromText="180" w:vertAnchor="page" w:horzAnchor="margin" w:tblpXSpec="center" w:tblpY="8473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2A62B7" w14:paraId="213CCC19" w14:textId="77777777" w:rsidTr="002A62B7">
        <w:trPr>
          <w:trHeight w:val="504"/>
        </w:trPr>
        <w:tc>
          <w:tcPr>
            <w:tcW w:w="1303" w:type="dxa"/>
          </w:tcPr>
          <w:p w14:paraId="664BE68E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8D8D485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015D9A42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7EF3825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5EDBE519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34F0DCF4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1759538F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58E7636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3FDD20B6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2A62B7" w14:paraId="13B9E853" w14:textId="77777777" w:rsidTr="002A62B7">
        <w:trPr>
          <w:trHeight w:val="388"/>
        </w:trPr>
        <w:tc>
          <w:tcPr>
            <w:tcW w:w="1303" w:type="dxa"/>
          </w:tcPr>
          <w:p w14:paraId="346E96B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199278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3B8E243C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5710E27E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3DCDEDAA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2023703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A93F50D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692CA0C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01FEC5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2A62B7" w14:paraId="7B803455" w14:textId="77777777" w:rsidTr="002A62B7">
        <w:trPr>
          <w:trHeight w:val="442"/>
        </w:trPr>
        <w:tc>
          <w:tcPr>
            <w:tcW w:w="1303" w:type="dxa"/>
          </w:tcPr>
          <w:p w14:paraId="5E12663B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2E8DA7A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A12232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64DB8F25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560F789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2A917C1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2A524C4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32453C66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252AF185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2A62B7" w14:paraId="02F7481E" w14:textId="77777777" w:rsidTr="002A62B7">
        <w:trPr>
          <w:trHeight w:val="861"/>
        </w:trPr>
        <w:tc>
          <w:tcPr>
            <w:tcW w:w="1303" w:type="dxa"/>
          </w:tcPr>
          <w:p w14:paraId="0064A9D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30D4C52C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6D9CEC9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382C7F1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1E159943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DA5606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0C6F363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217EBE2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1652D66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  <w:tr w:rsidR="002A62B7" w14:paraId="51D23571" w14:textId="77777777" w:rsidTr="002A62B7">
        <w:trPr>
          <w:trHeight w:val="277"/>
        </w:trPr>
        <w:tc>
          <w:tcPr>
            <w:tcW w:w="1303" w:type="dxa"/>
          </w:tcPr>
          <w:p w14:paraId="29FBFA5C" w14:textId="4CBBC605" w:rsidR="002A62B7" w:rsidRPr="002A62B7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Висоти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42C074D0" w14:textId="6B5C369B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0,247</m:t>
                </m:r>
              </m:oMath>
            </m:oMathPara>
          </w:p>
        </w:tc>
        <w:tc>
          <w:tcPr>
            <w:tcW w:w="1221" w:type="dxa"/>
          </w:tcPr>
          <w:p w14:paraId="6C4E1DC9" w14:textId="046E9AC6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0,148</m:t>
                </m:r>
              </m:oMath>
            </m:oMathPara>
          </w:p>
        </w:tc>
        <w:tc>
          <w:tcPr>
            <w:tcW w:w="1189" w:type="dxa"/>
          </w:tcPr>
          <w:p w14:paraId="0BD99A24" w14:textId="0558C663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0,099</m:t>
                </m:r>
              </m:oMath>
            </m:oMathPara>
          </w:p>
        </w:tc>
        <w:tc>
          <w:tcPr>
            <w:tcW w:w="1275" w:type="dxa"/>
          </w:tcPr>
          <w:p w14:paraId="35FAFCC5" w14:textId="0BADFFB0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0,049</m:t>
                </m:r>
              </m:oMath>
            </m:oMathPara>
          </w:p>
        </w:tc>
        <w:tc>
          <w:tcPr>
            <w:tcW w:w="1276" w:type="dxa"/>
          </w:tcPr>
          <w:p w14:paraId="78BFD30D" w14:textId="47F25F94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0,019</m:t>
                </m:r>
              </m:oMath>
            </m:oMathPara>
          </w:p>
        </w:tc>
        <w:tc>
          <w:tcPr>
            <w:tcW w:w="1418" w:type="dxa"/>
          </w:tcPr>
          <w:p w14:paraId="7210907B" w14:textId="180D69F3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0,031</m:t>
                </m:r>
              </m:oMath>
            </m:oMathPara>
          </w:p>
        </w:tc>
        <w:tc>
          <w:tcPr>
            <w:tcW w:w="1417" w:type="dxa"/>
          </w:tcPr>
          <w:p w14:paraId="0083BB25" w14:textId="6888347B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0,006</m:t>
                </m:r>
              </m:oMath>
            </m:oMathPara>
          </w:p>
        </w:tc>
        <w:tc>
          <w:tcPr>
            <w:tcW w:w="1418" w:type="dxa"/>
          </w:tcPr>
          <w:p w14:paraId="58AF22AD" w14:textId="37AB1C2C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0,019</m:t>
                </m:r>
              </m:oMath>
            </m:oMathPara>
          </w:p>
        </w:tc>
      </w:tr>
    </w:tbl>
    <w:p w14:paraId="12678A8C" w14:textId="3A649A27" w:rsidR="002A62B7" w:rsidRDefault="002A62B7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07A9FA9" w14:textId="4F7FD968" w:rsidR="0060647A" w:rsidRDefault="0060647A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3CBEDE84" w14:textId="264B5F5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370638">
        <w:rPr>
          <w:rFonts w:ascii="Times New Roman" w:eastAsiaTheme="maj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76568A7" wp14:editId="02F9206F">
            <wp:simplePos x="0" y="0"/>
            <wp:positionH relativeFrom="column">
              <wp:posOffset>-38735</wp:posOffset>
            </wp:positionH>
            <wp:positionV relativeFrom="paragraph">
              <wp:posOffset>389633</wp:posOffset>
            </wp:positionV>
            <wp:extent cx="5731510" cy="2882265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47A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тепер гістограму, яка і є геометричною інтерпретацією даної реалізації:</w:t>
      </w:r>
    </w:p>
    <w:p w14:paraId="0FF84356" w14:textId="3379BA80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24EE42C" w14:textId="42F3EF06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2607F1" w14:textId="77383B79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AC56202" w14:textId="314DDD7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336DA81" w14:textId="08031733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C94B51" w14:textId="3B2383D7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C85B29C" w14:textId="59A497B8" w:rsidR="0084616F" w:rsidRP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C5D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DE00DB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Побудувати емпіричну функцію розподілу</w:t>
      </w:r>
    </w:p>
    <w:p w14:paraId="4EF84B01" w14:textId="6DBAB791" w:rsid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емпіричну функцію розподілу нашої конкретної реалізації вибірки:</w:t>
      </w:r>
    </w:p>
    <w:p w14:paraId="73566DE3" w14:textId="6B0DB4F8" w:rsidR="00DE00DB" w:rsidRPr="00E776A2" w:rsidRDefault="00C8569F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…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1,                               x&gt;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        x≤2,57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0,4,                2,57&lt;x≤4,19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0,64,              4,19&lt;x≤5,81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0,8,                5,81&lt;x≤7,43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0,88,              7,43&lt;x≤9,05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0,91,            9,05&lt;x≤10,67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0,96,  10,67&lt;x≤12,29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0,97,  12,29&lt;x≤13,91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1,                                x&gt;13,91</m:t>
                  </m:r>
                </m:e>
              </m:eqArr>
            </m:e>
          </m:d>
        </m:oMath>
      </m:oMathPara>
    </w:p>
    <w:p w14:paraId="07E48C80" w14:textId="691AA24D" w:rsidR="00E776A2" w:rsidRDefault="00E776A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графік:</w:t>
      </w:r>
    </w:p>
    <w:p w14:paraId="1CC96A8A" w14:textId="775C1CC5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142CE3">
        <w:rPr>
          <w:rFonts w:ascii="Times New Roman" w:eastAsiaTheme="majorEastAsia" w:hAnsi="Times New Roman" w:cs="Times New Roman"/>
          <w:i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244E1E1" wp14:editId="299FE5BA">
            <wp:extent cx="6003884" cy="306579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998" cy="30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5BE" w14:textId="50803683" w:rsidR="00142CE3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0F5C5D">
        <w:rPr>
          <w:rFonts w:ascii="Times New Roman" w:eastAsiaTheme="maj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71D4AD8" wp14:editId="56F77F15">
            <wp:simplePos x="0" y="0"/>
            <wp:positionH relativeFrom="column">
              <wp:posOffset>68026</wp:posOffset>
            </wp:positionH>
            <wp:positionV relativeFrom="paragraph">
              <wp:posOffset>871220</wp:posOffset>
            </wp:positionV>
            <wp:extent cx="5277529" cy="2763306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29" cy="276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майже всі значення нашої конкретної реалізації унікальні можемо зробити припущення, що ГС, що породила цю реалізацію є неперервною</w:t>
      </w:r>
      <w:r w:rsidR="00A8513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, тобто функція розподілу цієї ГС має бути неперервною</w:t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 Тому доцільним буде ще і побудувати кумулятивну криву.</w:t>
      </w:r>
    </w:p>
    <w:p w14:paraId="2294A251" w14:textId="488FD236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21FA1D34" w14:textId="065F2D2A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0C5445E7" w14:textId="180A77C0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4A0C981" w14:textId="075F4204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C74595C" w14:textId="46950A52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5EB9B4D8" w14:textId="57BD57C6" w:rsidR="000F5C5D" w:rsidRPr="000A4F94" w:rsidRDefault="00E1466D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A4F94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4. Знайти незміщену оцінку математичного сподівання та дисперсії</w:t>
      </w:r>
    </w:p>
    <w:p w14:paraId="15DD244B" w14:textId="7DB31546" w:rsidR="00E1466D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Точкова оцінка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невідомого параметру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θ</m:t>
        </m:r>
      </m:oMath>
      <w:r w:rsidR="00462270" w:rsidRPr="00462270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називається незміщеною, якщо </w:t>
      </w:r>
      <m:oMath>
        <m:r>
          <m:rPr>
            <m:scr m:val="double-struck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E</m:t>
        </m:r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=θ</m:t>
        </m:r>
      </m:oMath>
    </w:p>
    <w:p w14:paraId="2250201B" w14:textId="16EC9B06" w:rsidR="001D56B0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За оцінку математичного сподівання візьмемо ви</w:t>
      </w:r>
      <w:r w:rsid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біркове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середнє: </w:t>
      </w:r>
    </w:p>
    <w:p w14:paraId="4700017F" w14:textId="026F955D" w:rsidR="00E1466D" w:rsidRPr="005D5073" w:rsidRDefault="001D56B0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</m:oMath>
      </m:oMathPara>
    </w:p>
    <w:p w14:paraId="0DC1D0A1" w14:textId="6237831C" w:rsidR="001D56B0" w:rsidRDefault="001D56B0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Перевіримо незміщеність цієї оцінки:</w:t>
      </w:r>
    </w:p>
    <w:p w14:paraId="06ADC03D" w14:textId="61AA4CA6" w:rsidR="001D56B0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. 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727F69F" w14:textId="50A4D5FF" w:rsidR="00BA29C9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[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 xml:space="preserve">Всі 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 розподілені</m:t>
          </m:r>
        </m:oMath>
      </m:oMathPara>
    </w:p>
    <w:p w14:paraId="286916C6" w14:textId="2BCCB7B3" w:rsidR="00BA29C9" w:rsidRPr="000A4F94" w:rsidRDefault="00BA29C9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однаково]=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∙n 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67B01954" w14:textId="1CB7362F" w:rsidR="000A4F94" w:rsidRPr="000A4F94" w:rsidRDefault="000A4F94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Отже, за означення </w:t>
      </w:r>
      <m:oMath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ξ</m:t>
            </m:r>
          </m:e>
        </m:acc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- </w:t>
      </w:r>
      <w:r w:rsidRP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незміщена оцінка математичного сподівання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07AA6C" w14:textId="67A8BF40" w:rsidR="00E1466D" w:rsidRPr="00E1466D" w:rsidRDefault="000A4F9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За оцінку дисперсії будемо брати виправлену вибіркову дисперсію, щоб мати незміщеність, а не асимптотичну незміщеність. </w:t>
      </w:r>
    </w:p>
    <w:p w14:paraId="183733F3" w14:textId="77777777" w:rsid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D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**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ξ=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14:paraId="771AEDC6" w14:textId="06145C73" w:rsidR="000F5C5D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5D507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Перевіримо, чи дійсно така точкова оцінка є незміщеною:</w:t>
      </w:r>
    </w:p>
    <w:p w14:paraId="562B5C9A" w14:textId="3F31544A" w:rsidR="005D5073" w:rsidRP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**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ξ</m:t>
              </m:r>
            </m:e>
          </m:d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627B7ED6" w14:textId="038C9EE5" w:rsidR="005D5073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44B85B75" w14:textId="3B4AFF88" w:rsidR="00904832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</m:e>
          </m:nary>
        </m:oMath>
      </m:oMathPara>
    </w:p>
    <w:p w14:paraId="7119658D" w14:textId="79AAAE16" w:rsidR="00C8569F" w:rsidRPr="00CC5077" w:rsidRDefault="00C8569F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23E56C51" w14:textId="4DDD9D17" w:rsidR="00CC5077" w:rsidRPr="00FF2277" w:rsidRDefault="00CC5077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=n∙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E9BB51A" w14:textId="60219FB0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3E57AFE8" w14:textId="1978C259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за незміщеністю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7B9417CA" w14:textId="5F072CD9" w:rsidR="00FF2277" w:rsidRPr="00462270" w:rsidRDefault="00FF2277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однаково</m:t>
              </m:r>
            </m:e>
          </m:d>
        </m:oMath>
      </m:oMathPara>
    </w:p>
    <w:p w14:paraId="18661AE5" w14:textId="358AEE71" w:rsidR="0039079F" w:rsidRPr="0039079F" w:rsidRDefault="00462270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 за вл. дисперсії</m:t>
              </m:r>
            </m:e>
          </m:d>
        </m:oMath>
      </m:oMathPara>
    </w:p>
    <w:p w14:paraId="084DCAB2" w14:textId="4EE97571" w:rsidR="00462270" w:rsidRPr="000B61DF" w:rsidRDefault="0039079F" w:rsidP="00462270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-незалежні у сукупності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14EAA9EB" w14:textId="7F556AD2" w:rsidR="000B61DF" w:rsidRPr="000B61DF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 однаково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5D8EFC57" w14:textId="4ADB06CB" w:rsidR="00FF2277" w:rsidRPr="00CA642B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49E052F2" w14:textId="3F977A1D" w:rsidR="00FF2277" w:rsidRPr="00CA642B" w:rsidRDefault="00CA642B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Отже, за означенням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ξ</m:t>
        </m:r>
      </m:oMath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– незміщена оцінка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дисперсії</w:t>
      </w: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</w:p>
    <w:p w14:paraId="2766F567" w14:textId="62A80520" w:rsidR="000A4F94" w:rsidRDefault="00CA642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вибіркового середнього на нашій конкретній реалізації:</w:t>
      </w:r>
    </w:p>
    <w:p w14:paraId="62D9800E" w14:textId="2BB40C64" w:rsidR="00CA642B" w:rsidRPr="000D3815" w:rsidRDefault="00CA642B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5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,627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8</m:t>
          </m:r>
        </m:oMath>
      </m:oMathPara>
    </w:p>
    <w:p w14:paraId="009BDBF6" w14:textId="768DF512" w:rsidR="000A4F94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виправленої вибіркової дисперсії:</w:t>
      </w:r>
    </w:p>
    <w:p w14:paraId="3EFFAC40" w14:textId="3CB20776" w:rsidR="000D3815" w:rsidRPr="000D3815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99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-5,627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=9,001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9</m:t>
          </m:r>
        </m:oMath>
      </m:oMathPara>
    </w:p>
    <w:p w14:paraId="76738FD2" w14:textId="77777777" w:rsidR="000F5C5D" w:rsidRPr="00462270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3B36E6C" w14:textId="359FFB2E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573D44C" w14:textId="57A4577A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6BCC46D" w14:textId="22C87306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EF17675" w14:textId="105A5913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517D709" w14:textId="2EA169C2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1630A20" w14:textId="4F882E83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66D3CF8" w14:textId="17C8D22F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E34119F" w14:textId="77777777" w:rsidR="00142CE3" w:rsidRP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sectPr w:rsidR="00142CE3" w:rsidRPr="0014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60895"/>
    <w:rsid w:val="00072AC9"/>
    <w:rsid w:val="000A4F94"/>
    <w:rsid w:val="000B61DF"/>
    <w:rsid w:val="000D3815"/>
    <w:rsid w:val="000F5C5D"/>
    <w:rsid w:val="00142CE3"/>
    <w:rsid w:val="00174576"/>
    <w:rsid w:val="001D56B0"/>
    <w:rsid w:val="00213C67"/>
    <w:rsid w:val="002A62B7"/>
    <w:rsid w:val="00370638"/>
    <w:rsid w:val="0039079F"/>
    <w:rsid w:val="003A3DAB"/>
    <w:rsid w:val="003D2C9C"/>
    <w:rsid w:val="00462270"/>
    <w:rsid w:val="004E2581"/>
    <w:rsid w:val="004F6943"/>
    <w:rsid w:val="005A67F2"/>
    <w:rsid w:val="005C4764"/>
    <w:rsid w:val="005D5073"/>
    <w:rsid w:val="005F5C59"/>
    <w:rsid w:val="0060647A"/>
    <w:rsid w:val="006475D0"/>
    <w:rsid w:val="00661369"/>
    <w:rsid w:val="006D3C08"/>
    <w:rsid w:val="007A764B"/>
    <w:rsid w:val="0084616F"/>
    <w:rsid w:val="00871CAD"/>
    <w:rsid w:val="00904832"/>
    <w:rsid w:val="009A62D0"/>
    <w:rsid w:val="009C00A7"/>
    <w:rsid w:val="00A60FF0"/>
    <w:rsid w:val="00A85131"/>
    <w:rsid w:val="00AC1C29"/>
    <w:rsid w:val="00BA29C9"/>
    <w:rsid w:val="00C3392A"/>
    <w:rsid w:val="00C8569F"/>
    <w:rsid w:val="00CA642B"/>
    <w:rsid w:val="00CC4CB1"/>
    <w:rsid w:val="00CC5077"/>
    <w:rsid w:val="00CD7FA3"/>
    <w:rsid w:val="00D16B9D"/>
    <w:rsid w:val="00D64507"/>
    <w:rsid w:val="00DE00DB"/>
    <w:rsid w:val="00E1466D"/>
    <w:rsid w:val="00E24269"/>
    <w:rsid w:val="00E73AAA"/>
    <w:rsid w:val="00E776A2"/>
    <w:rsid w:val="00EF24B4"/>
    <w:rsid w:val="00F0051A"/>
    <w:rsid w:val="00F35191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12</cp:revision>
  <cp:lastPrinted>2022-05-11T14:45:00Z</cp:lastPrinted>
  <dcterms:created xsi:type="dcterms:W3CDTF">2022-05-11T14:45:00Z</dcterms:created>
  <dcterms:modified xsi:type="dcterms:W3CDTF">2022-05-19T16:36:00Z</dcterms:modified>
</cp:coreProperties>
</file>