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52"/>
        </w:rPr>
        <w:t>AutoTrade — Final Product Specification</w:t>
      </w:r>
    </w:p>
    <w:p>
      <w:pPr>
        <w:jc w:val="center"/>
      </w:pPr>
      <w:r>
        <w:rPr>
          <w:sz w:val="28"/>
        </w:rPr>
        <w:t>Single specification of the target end product</w:t>
      </w:r>
    </w:p>
    <w:p>
      <w:pPr>
        <w:spacing w:before="600"/>
        <w:jc w:val="center"/>
      </w:pPr>
      <w:r>
        <w:rPr>
          <w:i/>
        </w:rPr>
        <w:t>Revised after owner review</w:t>
      </w:r>
    </w:p>
    <w:p>
      <w:pPr>
        <w:jc w:val="center"/>
      </w:pPr>
      <w:r>
        <w:t>September 21, 2026</w:t>
      </w:r>
    </w:p>
    <w:p>
      <w:r>
        <w:br w:type="page"/>
      </w:r>
    </w:p>
    <w:p>
      <w:pPr>
        <w:pStyle w:val="Heading1"/>
      </w:pPr>
      <w:r>
        <w:t>Product in one paragraph</w:t>
      </w:r>
    </w:p>
    <w:p>
      <w:r>
        <w:t>AutoTrade is a standalone, universal, autonomous multi-agent product for multi-market and multi-provider trading through official application programming interfaces. Full autonomy is a foundational property of the final system from the start of product design. The user can choose a policy in which specific financial actions require confirmation, or a fully autonomous policy in which the system acts within configured permissions and risk limits. AutoTrade selects markets, instruments, direction, implementation method and time horizon itself, manages the portfolio, learns from history, live data, its own experience and professional material, and pursues long-term growth of net capital after all costs and risks.</w:t>
      </w:r>
    </w:p>
    <w:p>
      <w:pPr>
        <w:pStyle w:val="Heading1"/>
      </w:pPr>
      <w:r>
        <w:t>Document navigation</w:t>
      </w:r>
    </w:p>
    <w:p>
      <w:pPr>
        <w:pStyle w:val="ListBullet"/>
      </w:pPr>
      <w:r>
        <w:t>1. Document status and purpose</w:t>
      </w:r>
    </w:p>
    <w:p>
      <w:pPr>
        <w:pStyle w:val="ListBullet"/>
      </w:pPr>
      <w:r>
        <w:t>2. Product vision</w:t>
      </w:r>
    </w:p>
    <w:p>
      <w:pPr>
        <w:pStyle w:val="ListBullet"/>
      </w:pPr>
      <w:r>
        <w:t>3. What the user receives</w:t>
      </w:r>
    </w:p>
    <w:p>
      <w:pPr>
        <w:pStyle w:val="ListBullet"/>
      </w:pPr>
      <w:r>
        <w:t>4. A universal market, not a crypto bot</w:t>
      </w:r>
    </w:p>
    <w:p>
      <w:pPr>
        <w:pStyle w:val="ListBullet"/>
      </w:pPr>
      <w:r>
        <w:t>5. Multi-provider by design</w:t>
      </w:r>
    </w:p>
    <w:p>
      <w:pPr>
        <w:pStyle w:val="ListBullet"/>
      </w:pPr>
      <w:r>
        <w:t>6. Provider capability registry</w:t>
      </w:r>
    </w:p>
    <w:p>
      <w:pPr>
        <w:pStyle w:val="ListBullet"/>
      </w:pPr>
      <w:r>
        <w:t>7. API-first trading</w:t>
      </w:r>
    </w:p>
    <w:p>
      <w:pPr>
        <w:pStyle w:val="ListBullet"/>
      </w:pPr>
      <w:r>
        <w:t>8. Target trading capabilities</w:t>
      </w:r>
    </w:p>
    <w:p>
      <w:pPr>
        <w:pStyle w:val="ListBullet"/>
      </w:pPr>
      <w:r>
        <w:t>9. Market as a live event stream</w:t>
      </w:r>
    </w:p>
    <w:p>
      <w:pPr>
        <w:pStyle w:val="ListBullet"/>
      </w:pPr>
      <w:r>
        <w:t>10. Autonomous selection of market, instrument, and horizon</w:t>
      </w:r>
    </w:p>
    <w:p>
      <w:pPr>
        <w:pStyle w:val="ListBullet"/>
      </w:pPr>
      <w:r>
        <w:t>11. Market thesis separate from execution instrument</w:t>
      </w:r>
    </w:p>
    <w:p>
      <w:pPr>
        <w:pStyle w:val="ListBullet"/>
      </w:pPr>
      <w:r>
        <w:t>12. Multi-agent intelligence</w:t>
      </w:r>
    </w:p>
    <w:p>
      <w:pPr>
        <w:pStyle w:val="ListBullet"/>
      </w:pPr>
      <w:r>
        <w:t>13. News, forecasts, experts, and external intelligence</w:t>
      </w:r>
    </w:p>
    <w:p>
      <w:pPr>
        <w:pStyle w:val="ListBullet"/>
      </w:pPr>
      <w:r>
        <w:t>14. Historical world, not a simple clock replay</w:t>
      </w:r>
    </w:p>
    <w:p>
      <w:pPr>
        <w:pStyle w:val="ListBullet"/>
      </w:pPr>
      <w:r>
        <w:t>15. Learning in waves: market, pause, analysis, candidate, market</w:t>
      </w:r>
    </w:p>
    <w:p>
      <w:pPr>
        <w:pStyle w:val="ListBullet"/>
      </w:pPr>
      <w:r>
        <w:t>16. Three speeds of adaptation</w:t>
      </w:r>
    </w:p>
    <w:p>
      <w:pPr>
        <w:pStyle w:val="ListBullet"/>
      </w:pPr>
      <w:r>
        <w:t>17. Blinded historical mode against memorized future knowledge</w:t>
      </w:r>
    </w:p>
    <w:p>
      <w:pPr>
        <w:pStyle w:val="ListBullet"/>
      </w:pPr>
      <w:r>
        <w:t>18. Anonymized historical news replay</w:t>
      </w:r>
    </w:p>
    <w:p>
      <w:pPr>
        <w:pStyle w:val="ListBullet"/>
      </w:pPr>
      <w:r>
        <w:t>19. Three evaluation layers</w:t>
      </w:r>
    </w:p>
    <w:p>
      <w:pPr>
        <w:pStyle w:val="ListBullet"/>
      </w:pPr>
      <w:r>
        <w:t>20. Learning across markets and regimes</w:t>
      </w:r>
    </w:p>
    <w:p>
      <w:pPr>
        <w:pStyle w:val="ListBullet"/>
      </w:pPr>
      <w:r>
        <w:t>21. Strategies are tools, not dogma</w:t>
      </w:r>
    </w:p>
    <w:p>
      <w:pPr>
        <w:pStyle w:val="ListBullet"/>
      </w:pPr>
      <w:r>
        <w:t>22. Paper trading before real money</w:t>
      </w:r>
    </w:p>
    <w:p>
      <w:pPr>
        <w:pStyle w:val="ListBullet"/>
      </w:pPr>
      <w:r>
        <w:t>23. Autonomy and confirmation policy</w:t>
      </w:r>
    </w:p>
    <w:p>
      <w:pPr>
        <w:pStyle w:val="ListBullet"/>
      </w:pPr>
      <w:r>
        <w:t>24. Risk as independent authority</w:t>
      </w:r>
    </w:p>
    <w:p>
      <w:pPr>
        <w:pStyle w:val="ListBullet"/>
      </w:pPr>
      <w:r>
        <w:t>25. Portfolio, not isolated trades</w:t>
      </w:r>
    </w:p>
    <w:p>
      <w:pPr>
        <w:pStyle w:val="ListBullet"/>
      </w:pPr>
      <w:r>
        <w:t>26. Execution: intended decision versus actual reality</w:t>
      </w:r>
    </w:p>
    <w:p>
      <w:pPr>
        <w:pStyle w:val="ListBullet"/>
      </w:pPr>
      <w:r>
        <w:t>27. Reconciliation and recovery</w:t>
      </w:r>
    </w:p>
    <w:p>
      <w:pPr>
        <w:pStyle w:val="ListBullet"/>
      </w:pPr>
      <w:r>
        <w:t>28. Accessible desktop and web interfaces</w:t>
      </w:r>
    </w:p>
    <w:p>
      <w:pPr>
        <w:pStyle w:val="ListBullet"/>
      </w:pPr>
      <w:r>
        <w:t>29. Decision explanations</w:t>
      </w:r>
    </w:p>
    <w:p>
      <w:pPr>
        <w:pStyle w:val="ListBullet"/>
      </w:pPr>
      <w:r>
        <w:t>30. Measuring agents, strategies, and sources</w:t>
      </w:r>
    </w:p>
    <w:p>
      <w:pPr>
        <w:pStyle w:val="ListBullet"/>
      </w:pPr>
      <w:r>
        <w:t>31. Operating modes and background learning</w:t>
      </w:r>
    </w:p>
    <w:p>
      <w:pPr>
        <w:pStyle w:val="ListBullet"/>
      </w:pPr>
      <w:r>
        <w:t>32. Economic objective and capital management</w:t>
      </w:r>
    </w:p>
    <w:p>
      <w:pPr>
        <w:pStyle w:val="ListBullet"/>
      </w:pPr>
      <w:r>
        <w:t>33. Credential and permission safety</w:t>
      </w:r>
    </w:p>
    <w:p>
      <w:pPr>
        <w:pStyle w:val="ListBullet"/>
      </w:pPr>
      <w:r>
        <w:t>34. Product foundations reused from Autosport</w:t>
      </w:r>
    </w:p>
    <w:p>
      <w:pPr>
        <w:pStyle w:val="ListBullet"/>
      </w:pPr>
      <w:r>
        <w:t>35. Example full live cycle</w:t>
      </w:r>
    </w:p>
    <w:p>
      <w:pPr>
        <w:pStyle w:val="ListBullet"/>
      </w:pPr>
      <w:r>
        <w:t>36. Example historical learning cycle</w:t>
      </w:r>
    </w:p>
    <w:p>
      <w:pPr>
        <w:pStyle w:val="ListBullet"/>
      </w:pPr>
      <w:r>
        <w:t>37. What “finished” means</w:t>
      </w:r>
    </w:p>
    <w:p>
      <w:pPr>
        <w:pStyle w:val="ListBullet"/>
      </w:pPr>
      <w:r>
        <w:t>38. Product truthfulness</w:t>
      </w:r>
    </w:p>
    <w:p>
      <w:pPr>
        <w:pStyle w:val="ListBullet"/>
      </w:pPr>
      <w:r>
        <w:t>39. Decisions intentionally deferred to the engineering specification</w:t>
      </w:r>
    </w:p>
    <w:p>
      <w:pPr>
        <w:pStyle w:val="ListBullet"/>
      </w:pPr>
      <w:r>
        <w:t>40. Final product formula</w:t>
      </w:r>
    </w:p>
    <w:p>
      <w:r>
        <w:br w:type="page"/>
      </w:r>
    </w:p>
    <w:p>
      <w:pPr>
        <w:pStyle w:val="Heading1"/>
      </w:pPr>
      <w:r>
        <w:t>1. Document status and purpose</w:t>
      </w:r>
    </w:p>
    <w:p>
      <w:r>
        <w:t>This document defines the target end product AutoTrade from the perspective of the user, product behavior, agent behavior, learning, markets, providers, and trading capabilities. It is intentionally not an engineering architecture document. It does not prescribe source-code classes, database schemas, programming languages, inter-process protocols, queues, deployment topology, or other implementation details. Once this product specification is approved, a separate engineering specification should translate the agreed product behavior into an implementation architecture.</w:t>
      </w:r>
    </w:p>
    <w:p>
      <w:r>
        <w:t>This document describes the mature target product; it does not claim that all listed capabilities already exist. AutoTrade is intended to be a separate product and repository while reusing domain-neutral product concepts already established in Autosport: causal historical replay without future leakage, paper capital, portfolio and risk controls, decision and execution evidence, evaluation and learning, restart recovery, multi-role agents, provider abstraction, and an accessible Windows interface.</w:t>
      </w:r>
    </w:p>
    <w:p>
      <w:pPr>
        <w:pStyle w:val="Heading1"/>
      </w:pPr>
      <w:r>
        <w:t>2. Product vision</w:t>
      </w:r>
    </w:p>
    <w:p>
      <w:r>
        <w:t>AutoTrade is an accessible autonomous multi-agent trading system that can operate without continuous human management. It observes multiple financial markets, analyzes structured market data and external information, discovers opportunities, selects instruments, direction and time horizons, forms market theses, chooses how to implement them, manages portfolio and risk, executes permitted trading actions, reconciles actual execution and learns continuously.</w:t>
      </w:r>
    </w:p>
    <w:p>
      <w:r>
        <w:t>Its mature objective is not merely to “guess the chart direction.” AutoTrade is intended to act as a professional trading agent and search systematically for reproducible economic edge after fees, spread, slippage, liquidity, latency, account constraints and risk. Its long-term economic objective is growth of net capital. The system decides when to buy, sell, go long, go short, wait, change horizon, change instrument, split capital across several opportunities, reduce exposure, hedge, or not trade.</w:t>
      </w:r>
    </w:p>
    <w:p>
      <w:r>
        <w:t>The product must not be tied to cryptocurrency, one exchange, one order style, or one trading horizon. It should be a universal platform for multiple asset classes and providers whenever the relevant account and provider legally and technically permit the operation.</w:t>
      </w:r>
    </w:p>
    <w:p>
      <w:pPr>
        <w:pStyle w:val="Heading1"/>
      </w:pPr>
      <w:r>
        <w:t>3. What the user receives</w:t>
      </w:r>
    </w:p>
    <w:p>
      <w:r>
        <w:t>The user receives an integrated system with an accessible Windows desktop application and web interface that share the same state: account, available capital, open positions, current risk, opportunities, active strategies, decision history, learning status, model status and provider health.</w:t>
      </w:r>
    </w:p>
    <w:p>
      <w:r>
        <w:t>After permitted credentials are connected, all market data, account state and trading actions included in the product are obtained or executed through official provider application programming interfaces. The AutoTrade product scope and the future engineering scope should not define another mechanism for trading execution.</w:t>
      </w:r>
    </w:p>
    <w:p>
      <w:r>
        <w:t>Full autonomy is a foundational capability of the final product. The user controls an authority policy rather than a maturity ladder: under confirmation policy AutoTrade fully prepares the action, explains intent, risk and exit plan in accessible form, but waits for confirmation of the financial operation; under autonomous policy it performs all permitted actions without user involvement. Additional limits by amount, instrument, leverage, action type or provider define boundaries, but inside those boundaries the agent decides independently.</w:t>
      </w:r>
    </w:p>
    <w:p>
      <w:pPr>
        <w:pStyle w:val="Heading1"/>
      </w:pPr>
      <w:r>
        <w:t>4. A universal market, not a crypto bot</w:t>
      </w:r>
    </w:p>
    <w:p>
      <w:r>
        <w:t>The base product concept is a financial instrument, not a cryptocurrency. An instrument may be a cryptocurrency pair, equity, exchange-traded fund, currency pair, future, perpetual contract, option, index, commodity-linked product, or another tradable product supported by a connected provider.</w:t>
      </w:r>
    </w:p>
    <w:p>
      <w:r>
        <w:t>The system must preserve the differences between asset classes. Equities have sessions, earnings, dividends, and corporate actions. Futures have expiry, contract size, and rolls. Options have strikes, expiry, Greeks, and implied volatility. Perpetual crypto contracts have funding and liquidation mechanics. A universal foundation therefore coexists with specialized analysis for each asset class.</w:t>
      </w:r>
    </w:p>
    <w:p>
      <w:r>
        <w:t>At the user level, AutoTrade does not require selecting one market forever. It can observe an allowed universe and compare opportunities across markets.</w:t>
      </w:r>
    </w:p>
    <w:p>
      <w:pPr>
        <w:pStyle w:val="Heading1"/>
      </w:pPr>
      <w:r>
        <w:t>5. Multi-provider by design</w:t>
      </w:r>
    </w:p>
    <w:p>
      <w:r>
        <w:t>The final exchange does not need to be known before development starts. AutoTrade should support multiple providers and present one common trading language to the agents. An agent expresses an economic intent: obtain a quote, acquire a target exposure, place protection, reduce exposure, close a position, or reconcile account state. AutoTrade then uses the appropriate provider integration.</w:t>
      </w:r>
    </w:p>
    <w:p>
      <w:r>
        <w:t>Initial provider candidates should include Bybit, Kraken, WhiteBIT, Binance, Interactive Brokers, and Alpaca, without treating this list as closed. Additional exchanges and brokers can be added when they provide suitable official interfaces and acceptable terms.</w:t>
      </w:r>
    </w:p>
    <w:p>
      <w:r>
        <w:t>The base user scenario is one primary provider that actually holds the trading capital. In that mode the agent searches for the best opportunities inside that account’s available universe. A separate multi-provider policy can be enabled when capital is held on several venues: the system then compares price, liquidity, fees, available instruments and free capital on each account and decides where a particular thesis is best implemented.</w:t>
      </w:r>
    </w:p>
    <w:p>
      <w:pPr>
        <w:pStyle w:val="Heading1"/>
      </w:pPr>
      <w:r>
        <w:t>6. Provider capability registry</w:t>
      </w:r>
    </w:p>
    <w:p>
      <w:r>
        <w:t>An agent must never guess whether a venue supports shorting, futures, options, leverage, or a specific stop type. AutoTrade needs a persistent capability registry covering each provider, account, and where necessary each instrument.</w:t>
      </w:r>
    </w:p>
    <w:p>
      <w:r>
        <w:t>The registry should know available asset classes, live quotes, order book access, historical data, supported order types, long and short permissions, margin and leverage, leverage limits, futures, perpetuals, options, stop-loss, take-profit, trailing stop, partial close, test or paper environments, minimum size, price tick, quantity step, fees, and account-specific restrictions.</w:t>
      </w:r>
    </w:p>
    <w:p>
      <w:r>
        <w:t>Some capability facts are verified provider knowledge; others should be refreshed from the live provider interface. If an exchange adds an instrument or changes a leverage boundary, the product should discover the new state before allowing a decision to rely on it.</w:t>
      </w:r>
    </w:p>
    <w:p>
      <w:pPr/>
      <w:r>
        <w:t>Provider selection and product scope are not restricted by assumptions about the user's nationality or country of registration. Capabilities are discovered for the actual connected account, provider entity, environment, permissions and instrument version. Unknown, expired or conflicting capability evidence cannot authorize a financial action. The product explains any account-specific limitation without removing the provider from the overall architecture.</w:t>
      </w:r>
    </w:p>
    <w:p>
      <w:pPr>
        <w:pStyle w:val="Heading1"/>
      </w:pPr>
      <w:r>
        <w:t>7. API-first trading</w:t>
      </w:r>
    </w:p>
    <w:p>
      <w:r>
        <w:t>For market data, account state and trading, AutoTrade operates through official application programming interfaces. The program consumes structured data and sends structured trading commands, so the future engineering specification should focus on reliable programmatic market, account and execution access.</w:t>
      </w:r>
    </w:p>
    <w:p>
      <w:r>
        <w:t>Instead of a rendered chart, the system receives structured numbers: last price, bid and ask, spread, candles, volume, order book, open interest, funding, liquidations, volatility, and other supported fields. Instead of clicking Buy, it sends a precise order and receives an acknowledgement of the request. Acceptance is not proof of execution: actual fills, quantities, prices, fees and later corrections are established from execution reports and account reconciliation, with provider identifiers retained throughout.</w:t>
      </w:r>
    </w:p>
    <w:p>
      <w:r>
        <w:t>All functionality that belongs to market observation, account state and trading execution in AutoTrade must be implemented through application programming interfaces. This is an approved product requirement for the later engineering specification.</w:t>
      </w:r>
    </w:p>
    <w:p>
      <w:pPr>
        <w:pStyle w:val="Heading1"/>
      </w:pPr>
      <w:r>
        <w:t>8. Target trading capabilities</w:t>
      </w:r>
    </w:p>
    <w:p>
      <w:r>
        <w:t>The mature product should be able, where supported by the provider and account, to read balances and available capital, read positions and working orders, submit market, limit, stop, and other supported orders, cancel and amend orders, open long and short exposures, trade spot products, margin products, futures, perpetuals, and options.</w:t>
      </w:r>
    </w:p>
    <w:p>
      <w:r>
        <w:t>It should also support stop-loss, take-profit, trailing stops, partial closes, full closes, leverage changes where permitted, margin and liquidation-risk monitoring, actual fill prices, fees, spread, and slippage.</w:t>
      </w:r>
    </w:p>
    <w:p>
      <w:r>
        <w:t>Providers do not expose identical capabilities. AutoTrade uses the capability registry and chooses only confirmed technically available actions. In the base single-provider mode the agent searches for another instrument or implementation inside that account; when multi-provider mode is enabled and other accounts hold usable capital, it may compare those venues as well. If no economically acceptable implementation exists, the agent rejects the opportunity.</w:t>
      </w:r>
    </w:p>
    <w:p>
      <w:pPr/>
      <w:r>
        <w:t>The complete instrument lifecycle is included: corporate actions and delistings; settled versus unsettled cash; stock borrowing, recalls and financing; futures expiry, variation margin and delivery avoidance; perpetual funding and liquidation; option exercise, assignment, expiry, settlement and multi-leg exposure. Instruments whose required lifecycle cannot be safely supported remain explicitly unavailable until that capability is qualified, without removing it from the final product scope.</w:t>
      </w:r>
    </w:p>
    <w:p>
      <w:pPr>
        <w:pStyle w:val="Heading1"/>
      </w:pPr>
      <w:r>
        <w:t>9. Market as a live event stream</w:t>
      </w:r>
    </w:p>
    <w:p>
      <w:r>
        <w:t>Prices should not update only when an agent asks. Whenever the provider supports streaming, AutoTrade continuously receives market changes and maintains the freshest verified state for both the user interface and the agents.</w:t>
      </w:r>
    </w:p>
    <w:p>
      <w:r>
        <w:t>The user may hear or read: instrument, current price, freshness time, changes across selected horizons, spread, a short market-state summary, own position, unrealized result, protective orders, risk, and the reason for the current system decision.</w:t>
      </w:r>
    </w:p>
    <w:p>
      <w:r>
        <w:t>High-frequency ingestion does not mean sending every tick to a language model. Fast market handling is deterministic and mathematical; complex agents consume aggregated relevant state at an appropriate cadence.</w:t>
      </w:r>
    </w:p>
    <w:p>
      <w:pPr>
        <w:pStyle w:val="Heading1"/>
      </w:pPr>
      <w:r>
        <w:t>10. Autonomous selection of market, instrument, and horizon</w:t>
      </w:r>
    </w:p>
    <w:p>
      <w:r>
        <w:t>The user should not need to tell the system “trade Bitcoin today.” AutoTrade operates over an allowed universe and determines where a sufficiently strong opportunity exists.</w:t>
      </w:r>
    </w:p>
    <w:p>
      <w:r>
        <w:t>It may compare crypto, gold-linked instruments, currencies, equities, indexes, and other permitted assets. It may conclude that crypto has no attractive edge while another market is better. It should also select the holding horizon—minutes, hours, a day, or multiple days—when that horizon is supported by the strategy and risk limits.</w:t>
      </w:r>
    </w:p>
    <w:p>
      <w:r>
        <w:t>NO_TRADE is a legitimate first-class decision. The mature system optimizes decision quality after costs and risk, not trade count.</w:t>
      </w:r>
    </w:p>
    <w:p>
      <w:pPr>
        <w:pStyle w:val="Heading1"/>
      </w:pPr>
      <w:r>
        <w:t>11. Market thesis separate from execution instrument</w:t>
      </w:r>
    </w:p>
    <w:p>
      <w:r>
        <w:t>AutoTrade should separate the forecast about a market from the instrument used to express it. “Gold is expected to decline” is a market thesis. It may be expressed via a short, a future, an option, the sale of an existing holding, or not expressed at all if available implementations are too expensive or risky.</w:t>
      </w:r>
    </w:p>
    <w:p>
      <w:r>
        <w:t>This enables intelligent substitution rather than blind workarounds. The system compares legally and technically available implementations while considering fees, liquidity, spread, leverage, liquidation risk, horizon, and account restrictions.</w:t>
      </w:r>
    </w:p>
    <w:p>
      <w:pPr>
        <w:pStyle w:val="Heading1"/>
      </w:pPr>
      <w:r>
        <w:t>12. Multi-agent intelligence</w:t>
      </w:r>
    </w:p>
    <w:p>
      <w:r>
        <w:t>The final product must not depend on one language agent. Some roles do not require generative AI at all: market arithmetic, indicators, portfolio calculations, limits, balance control, execution reconciliation, statistical tests and some strategies can run on mathematical and algorithmic foundations. Those roles may invoke AI only when it actually adds value.</w:t>
      </w:r>
    </w:p>
    <w:p>
      <w:r>
        <w:t>Mature roles may include a technical-price agent; an order-book and liquidity agent; a statistical regime agent; a news, macro, corporate, and geopolitical agent; a cross-market agent; a horizon-selection agent; a portfolio manager; an independent critic whose job is to find reasons not to trade; and a research agent for new strategies.</w:t>
      </w:r>
    </w:p>
    <w:p>
      <w:r>
        <w:t>Agent count is not a goal. A new agent remains part of the decision process only when causal evaluation demonstrates incremental value after costs and risk. For roles that require AI, the user controls the model policy: one fixed model, several explicitly allowed models with switching, or dynamic routing in which the system decides whether a weaker or local model is sufficient and when a stronger model is justified. When the personal computer is on, permitted local models can be used for suitable tasks. The user can manually restrict exactly which models the system may switch between.</w:t>
      </w:r>
    </w:p>
    <w:p>
      <w:pPr>
        <w:pStyle w:val="Heading1"/>
      </w:pPr>
      <w:r>
        <w:t>13. News, forecasts, experts, and external intelligence</w:t>
      </w:r>
    </w:p>
    <w:p>
      <w:r>
        <w:t>In live mode, AutoTrade should analyze more than the market stream itself. The information universe may include official economic releases, central-bank decisions, inflation, employment, rates, corporate reports, regulatory filings, industry news, public statements by company executives, analyst forecasts and consensus, social media, geopolitical events, and public statements by influential political figures.</w:t>
      </w:r>
    </w:p>
    <w:p>
      <w:r>
        <w:t>No source is automatically truth. Every information item needs provenance, timestamp, type, confirmation level, and relevance. A central-bank release and an unverified anonymous post cannot carry the same evidentiary weight.</w:t>
      </w:r>
    </w:p>
    <w:p>
      <w:r>
        <w:t>The system continuously learns which sources add actual predictive value, for which markets and horizons. It also develops professional knowledge outside direct trading by studying new material, research, analytical methods, provider and instrument documentation, strategies and changes in market structure. Sources and materials earn trust from measured usefulness rather than popularity.</w:t>
      </w:r>
    </w:p>
    <w:p>
      <w:pPr>
        <w:pStyle w:val="Heading1"/>
      </w:pPr>
      <w:r>
        <w:t>14. Historical world, not a simple clock replay</w:t>
      </w:r>
    </w:p>
    <w:p>
      <w:r>
        <w:t>Historical evaluation should be a causal world, not a completed chart played back from start to finish. The agent lives through events with the future revealed gradually. A simulation may begin on January 1, 2024, but before that start the agent may be trained on permitted earlier history, such as several previous years or market regimes.</w:t>
      </w:r>
    </w:p>
    <w:p>
      <w:r>
        <w:t>Once the January 1, 2024 evaluation begins, everything after the current historical timestamp is future and unavailable. New prices, candles, news, reports, and events are released only when they historically became available. A story published at 10:31:17 does not exist for the agent at 10:31:16.</w:t>
      </w:r>
    </w:p>
    <w:p>
      <w:r>
        <w:t>Historical execution also models economics rather than direction alone: spread, fees, liquidity, execution feasibility, slippage, partial fills, and risk.</w:t>
      </w:r>
    </w:p>
    <w:p>
      <w:pPr/>
      <w:r>
        <w:t>Historical datasets retain the time an observation became available, ingestion provenance and all relevant vintages. Revised macroeconomic releases, corrected news, corporate-action adjustments and the historical investable universe are evaluated as known at the decision time. Data rights must cover the intended storage, replay, model use and redistribution. Missing historical availability evidence is disclosed and excludes claims requiring that evidence.</w:t>
      </w:r>
    </w:p>
    <w:p>
      <w:pPr>
        <w:pStyle w:val="Heading1"/>
      </w:pPr>
      <w:r>
        <w:t>15. Learning in waves: market, pause, analysis, candidate, market</w:t>
      </w:r>
    </w:p>
    <w:p>
      <w:r>
        <w:t>Self-learning should not mean one fixed policy replaying the entire past. The preferred cycle is: initial training on prior history; operation on the next unseen segment; an evaluation pause; error analysis; creation of a candidate strategy or model; validation on data not used for the update; acceptance or rejection; and continuation into the next unseen market segment.</w:t>
      </w:r>
    </w:p>
    <w:p>
      <w:r>
        <w:t>A pause can be triggered by time, trade count, regime change, accumulated evidence, or material drawdown. The system should not retrain mechanically after every trade.</w:t>
      </w:r>
    </w:p>
    <w:p>
      <w:r>
        <w:t>A current validated model may continue operating while a next candidate is trained in parallel. A candidate can be promoted automatically only after passing defined quality and risk checks, or wait for confirmation when the user policy requires it. Earlier versions, their outcomes and reasons for change remain available for comparison and rollback.</w:t>
      </w:r>
    </w:p>
    <w:p>
      <w:pPr>
        <w:pStyle w:val="Heading1"/>
      </w:pPr>
      <w:r>
        <w:t>16. Three speeds of adaptation</w:t>
      </w:r>
    </w:p>
    <w:p>
      <w:r>
        <w:t>The mature product should support three adaptation speeds. Fast adaptation adjusts signal weights, confidence, strategy priorities, thresholds, or regime selection without replacing the model. Periodic adaptation re-evaluates performance after a trade series or session. Full training creates a candidate model that must pass separate validation before promotion.</w:t>
      </w:r>
    </w:p>
    <w:p>
      <w:r>
        <w:t>This keeps the system adaptive without becoming unstable or rewriting itself after one bad day. Memory is cumulative: positive and negative outcomes, mistakes, successful decisions, market conditions, strategies, sources and model versions are not erased by new learning but extended, qualified and re-evaluated. To prevent a large memory from wasting tokens, only the relevant portion of knowledge is retrieved for a specific decision rather than loading the entire archive.</w:t>
      </w:r>
    </w:p>
    <w:p>
      <w:pPr/>
      <w:r>
        <w:t>Learning may automatically adapt parameters only within a validated policy envelope. New models, generated strategies and material behavior changes remain candidates until independent evaluation and promotion checks succeed. Learning cannot expand trading authority, alter hard risk limits or deploy arbitrary executable code into the financial runtime. Retention tests measure behavior on earlier regimes as well as new conditions; retaining an archive alone is not proof that a model has avoided forgetting.</w:t>
      </w:r>
    </w:p>
    <w:p>
      <w:pPr>
        <w:pStyle w:val="Heading1"/>
      </w:pPr>
      <w:r>
        <w:t>17. Blinded historical mode against memorized future knowledge</w:t>
      </w:r>
    </w:p>
    <w:p>
      <w:r>
        <w:t>A modern language model may remember historical events from pretraining. Therefore a rigorous backtest should not simply ask, “It is March 12, 2024; what happens to Bitcoin next?”</w:t>
      </w:r>
    </w:p>
    <w:p>
      <w:r>
        <w:t>AutoTrade should support a blinded representation of historical reality. Real asset names, providers, companies, countries, politicians, and calendar dates can be replaced with pseudonyms. Bitcoin can become Instrument 042, an exchange Provider 07, and a date Session 1837 / Moment 10442. Mappings should be shuffled across experiments where practical.</w:t>
      </w:r>
    </w:p>
    <w:p>
      <w:r>
        <w:t>Optional price-scale transformations may be used only where their economic invariants can be demonstrated for the complete instrument and execution model. Prices, quantities, contract multipliers, ticks, strikes, fees and currency conversions cannot be transformed independently. Percentage-return preservation alone does not prove unchanged liquidity or execution economics. For unsupported instruments, preserve the original economics and use identity masking without price scaling. Blinding reduces recognition risk; it does not establish that a pretrained model has no prior knowledge of the evaluation period. Forward evaluation on events unavailable at model selection remains necessary.</w:t>
      </w:r>
    </w:p>
    <w:p>
      <w:pPr>
        <w:pStyle w:val="Heading1"/>
      </w:pPr>
      <w:r>
        <w:t>18. Anonymized historical news replay</w:t>
      </w:r>
    </w:p>
    <w:p>
      <w:r>
        <w:t>Identity masking creates a second challenge: real news can reveal the historical period. AutoTrade should therefore support causal historical news in anonymized form. “Company C44 reported quarterly earnings 17% above expectations” retains economic meaning without telling the model that C44 is a famous company it may remember.</w:t>
      </w:r>
    </w:p>
    <w:p>
      <w:r>
        <w:t>The same applies to political and geopolitical events. Economic meaning, publication time, event magnitude, and relevance are preserved while obvious identifiers are removed. Corrections and updates are revealed only when they historically appeared.</w:t>
      </w:r>
    </w:p>
    <w:p>
      <w:pPr>
        <w:pStyle w:val="Heading1"/>
      </w:pPr>
      <w:r>
        <w:t>19. Three evaluation layers</w:t>
      </w:r>
    </w:p>
    <w:p>
      <w:r>
        <w:t>A single strategy should ideally face three independent evaluation layers. First, blinded market replay: anonymous instruments, hidden calendar, only causal market data. This tests pure market logic.</w:t>
      </w:r>
    </w:p>
    <w:p>
      <w:r>
        <w:t>Second, causal information replay: market data plus historical news, reports, and events released at the correct times and anonymized where possible. This tests whether information intelligence adds value.</w:t>
      </w:r>
    </w:p>
    <w:p>
      <w:r>
        <w:t>Third, live forward paper trading: real names, the real current date, current news, and real market streams without real capital. This is the strongest check that the model did not exploit historical leakage and can operate on genuinely unknown future events.</w:t>
      </w:r>
    </w:p>
    <w:p>
      <w:pPr>
        <w:pStyle w:val="Heading1"/>
      </w:pPr>
      <w:r>
        <w:t>20. Learning across markets and regimes</w:t>
      </w:r>
    </w:p>
    <w:p>
      <w:r>
        <w:t>The mature system should not learn only on crypto. Its training school should contain multiple asset classes and market regimes: strong bull trends, bear markets, sideways conditions, low and high volatility, crisis periods, news shocks, liquid and illiquid states.</w:t>
      </w:r>
    </w:p>
    <w:p>
      <w:r>
        <w:t>The objective is not “Bitcoin always behaves like this,” but more abstract relationships: under a specific combination of trend, momentum, volatility, liquidity, spread, volume, microstructure, external events, and horizon, strategy A has historically produced better execution-adjusted economics than strategy B.</w:t>
      </w:r>
    </w:p>
    <w:p>
      <w:r>
        <w:t>Each asset class still keeps specialized features. A universal brain must not erase the difference between an option and spot crypto.</w:t>
      </w:r>
    </w:p>
    <w:p>
      <w:pPr>
        <w:pStyle w:val="Heading1"/>
      </w:pPr>
      <w:r>
        <w:t>21. Strategies are tools, not dogma</w:t>
      </w:r>
    </w:p>
    <w:p>
      <w:r>
        <w:t>The product may use trend following, mean reversion, breakouts, momentum, moving averages, relative strength, Bollinger Bands, MACD, Fibonacci levels, volume analysis, volume-weighted average price, volatility measures, order-book microstructure, cross-market relationships, news signals, macro signals, and other strategy families.</w:t>
      </w:r>
    </w:p>
    <w:p>
      <w:r>
        <w:t>No strategy is treated as useful because it is popular. AutoTrade measures where, when, and over which horizon it adds value after costs. If Fibonacci-based signals help one regime and add noise in another, their weight should differ.</w:t>
      </w:r>
    </w:p>
    <w:p>
      <w:pPr>
        <w:pStyle w:val="Heading1"/>
      </w:pPr>
      <w:r>
        <w:t>22. Paper trading before real money</w:t>
      </w:r>
    </w:p>
    <w:p>
      <w:r>
        <w:t>After historical work, AutoTrade moves into paper trading with live market data. Decisions and orders should use the most realistic available simulator or official test environment.</w:t>
      </w:r>
    </w:p>
    <w:p>
      <w:r>
        <w:t>Paper profit is not automatically evidence of real profitability. Qualification must account for simulation limitations, require enough independent decisions across regimes, track drawdown and stability, and model fees, spread, and slippage.</w:t>
      </w:r>
    </w:p>
    <w:p>
      <w:r>
        <w:t>Real capital is not needed for the learning phase. Historical replay and live paper trading should provide a large training and evaluation surface without financial risk.</w:t>
      </w:r>
    </w:p>
    <w:p>
      <w:pPr>
        <w:pStyle w:val="Heading1"/>
      </w:pPr>
      <w:r>
        <w:t>23. Autonomy and confirmation policy</w:t>
      </w:r>
    </w:p>
    <w:p>
      <w:r>
        <w:t>Final AutoTrade is designed as autonomous from the beginning. The user is not required to manage every trade or remain continuously present in real-money mode. After permissions, risk boundaries and authority policy are configured, the system can independently maintain the full trading cycle. The two core execution policies are confirmation of a fully prepared and explained financial action, or fully autonomous execution of everything permitted.</w:t>
      </w:r>
    </w:p>
    <w:p>
      <w:r>
        <w:t>The user may further restrict autonomy by amount, asset class, instrument, leverage, time, action type or provider. These limits define authority boundaries, but inside the permitted space the agent analyzes, decides and acts independently.</w:t>
      </w:r>
    </w:p>
    <w:p>
      <w:pPr/>
      <w:r>
        <w:t>A confirmation binds the exact economic action, account, environment, maximum quantity and cost, risk policy and expiry. A material change invalidates it. Autonomous authority likewise has a version and revocation state. Revocation blocks unsent actions at the last submission boundary while tracking already submitted actions to their actual outcome. Protection and emergency actions follow separately declared authority so unattended operation remains possible within the configured policy.</w:t>
      </w:r>
    </w:p>
    <w:p>
      <w:pPr>
        <w:pStyle w:val="Heading1"/>
      </w:pPr>
      <w:r>
        <w:t>24. Risk as independent authority</w:t>
      </w:r>
    </w:p>
    <w:p>
      <w:r>
        <w:t>Risk control is independent from optimistic strategy agents. Even unanimous agent enthusiasm does not override hard risk limits.</w:t>
      </w:r>
    </w:p>
    <w:p>
      <w:r>
        <w:t>The user defines global boundaries: maximum capital or percentage per position, daily loss limit, total exposure, concurrent position count, leverage cap, liquidation-distance requirements, minimum liquidity, maximum spread and slippage, venue concentration, asset-class limits, and an emergency stop.</w:t>
      </w:r>
    </w:p>
    <w:p>
      <w:r>
        <w:t>The system distinguishes account equity, notional position size, and actual capital at risk. A stop-loss reduces risk but does not guarantee an exact maximum loss under gaps, slippage, or poor liquidity.</w:t>
      </w:r>
    </w:p>
    <w:p>
      <w:pPr>
        <w:pStyle w:val="Heading1"/>
      </w:pPr>
      <w:r>
        <w:t>25. Portfolio, not isolated trades</w:t>
      </w:r>
    </w:p>
    <w:p>
      <w:r>
        <w:t>AutoTrade treats all open and proposed positions as one portfolio. Different instruments can carry almost the same underlying risk when they are highly correlated. Risk is therefore evaluated jointly rather than trade by trade.</w:t>
      </w:r>
    </w:p>
    <w:p>
      <w:r>
        <w:t>The portfolio manager autonomously allocates available capital across opportunities. If an account contains, for example, 100 dollars, the system should not default to using all of it in one instrument. It may keep part in reserve, open several positions of different sizes, or use very small allocations down to the practical minimum allowed by provider rules, fees, liquidity and instrument constraints. Allocation follows expected edge, correlation, aggregate risk and portfolio state rather than a requirement to keep all capital deployed.</w:t>
      </w:r>
    </w:p>
    <w:p>
      <w:pPr>
        <w:pStyle w:val="Heading1"/>
      </w:pPr>
      <w:r>
        <w:t>26. Execution: intended decision versus actual reality</w:t>
      </w:r>
    </w:p>
    <w:p>
      <w:r>
        <w:t>Learning never uses the price an agent merely saw before submitting an order as if it were the fill. Each trade preserves the full chain: market state before decision, intended order, provider acknowledgement, actual price and quantity, fees, slippage, partial fill, open state, later adjustments, and final close.</w:t>
      </w:r>
    </w:p>
    <w:p>
      <w:r>
        <w:t>If the agent wanted 100.00 but the venue filled 100.07, learning uses 100.07. The gap between idea and execution determines whether an apparent edge survives reality.</w:t>
      </w:r>
    </w:p>
    <w:p>
      <w:pPr>
        <w:pStyle w:val="Heading1"/>
      </w:pPr>
      <w:r>
        <w:t>27. Reconciliation and recovery</w:t>
      </w:r>
    </w:p>
    <w:p>
      <w:r>
        <w:t>AutoTrade's internal memory is not the final authority for money. After critical actions and after restart, the product reconciles balance, positions, working orders, and fills with the provider.</w:t>
      </w:r>
    </w:p>
    <w:p>
      <w:r>
        <w:t>If power or network connectivity fails during an order, the system must not blindly repeat the command and create a duplicate position. It first discovers what actually happened at the venue, then resumes.</w:t>
      </w:r>
    </w:p>
    <w:p>
      <w:r>
        <w:t>The user needs an emergency command that blocks new actions. Where a venue provides dead-man switches or automatic cancellation on lost connectivity, AutoTrade should be able to use them.</w:t>
      </w:r>
    </w:p>
    <w:p>
      <w:pPr/>
      <w:r>
        <w:t>Emergency controls distinguish blocking new exposure, cancelling working orders and attempting to flatten positions. Cancelling protection can increase risk; flattening may be impossible or harmful during an outage and must never be reported as complete without provider evidence. Uncertain orders retain their reserved risk until reconciled. Safe recovery is required after clock faults, full disks, corrupted state, trade corrections and manual account activity, as well as power and network loss.</w:t>
      </w:r>
    </w:p>
    <w:p>
      <w:pPr>
        <w:pStyle w:val="Heading1"/>
      </w:pPr>
      <w:r>
        <w:t>28. Accessible desktop and web interfaces</w:t>
      </w:r>
    </w:p>
    <w:p>
      <w:r>
        <w:t>The final product should provide two accessible interaction surfaces: a Windows desktop application and a web interface sharing the same system state. Both are keyboard-first and NVDA-friendly, with clear headings, logical regions, understandable fields, lists, tables and predictable focus order.</w:t>
      </w:r>
    </w:p>
    <w:p>
      <w:r>
        <w:t>Primary areas include market overview, discovered opportunities, current positions, account and provider, risk, agent activity, trade intentions, decisions and explanations, history, learning, information sources, model policy, autonomy and emergency stop. Numerical values, logs, explanations and other important data are ordinary visible and accessible text that can be selected and copied, not hidden text available only to a screen reader. Core actions should also have well-defined keyboard shortcuts.</w:t>
      </w:r>
    </w:p>
    <w:p>
      <w:r>
        <w:t>The product should not speak every tick. Notifications are event-based: material price movement, position open or close, stop or take-profit event, risk-state change, provider failure, need for user confirmation, or completion of a learning cycle.</w:t>
      </w:r>
    </w:p>
    <w:p>
      <w:pPr>
        <w:pStyle w:val="Heading1"/>
      </w:pPr>
      <w:r>
        <w:t>29. Decision explanations</w:t>
      </w:r>
    </w:p>
    <w:p>
      <w:r>
        <w:t>The user can ask why the system opened a position. The answer should identify the important signals, selected horizon, alternative scenarios, reason for the chosen instrument and provider, rejected risks, and exit criteria.</w:t>
      </w:r>
    </w:p>
    <w:p>
      <w:r>
        <w:t>An explanation never replaces evidence. A beautifully narrated trade does not promote a strategy if measured forward performance does not support it.</w:t>
      </w:r>
    </w:p>
    <w:p>
      <w:pPr>
        <w:pStyle w:val="Heading1"/>
      </w:pPr>
      <w:r>
        <w:t>30. Measuring agents, strategies, and sources</w:t>
      </w:r>
    </w:p>
    <w:p>
      <w:r>
        <w:t>AutoTrade separately measures the contribution of agents, strategies, and information sources. The goal is to know what actually created or destroyed performance, not just the aggregate return.</w:t>
      </w:r>
    </w:p>
    <w:p>
      <w:r>
        <w:t>The system can compare equivalent historical and forward segments with and without the news agent, with and without order-book intelligence, or with and without a strategy. Components that do not provide stable incremental value after costs should not remain mandatory.</w:t>
      </w:r>
    </w:p>
    <w:p>
      <w:r>
        <w:t>Information sources and expert forecasts also earn reputation from measured historical and forward usefulness rather than popularity.</w:t>
      </w:r>
    </w:p>
    <w:p>
      <w:pPr>
        <w:pStyle w:val="Heading1"/>
      </w:pPr>
      <w:r>
        <w:t>31. Operating modes and background learning</w:t>
      </w:r>
    </w:p>
    <w:p>
      <w:r>
        <w:t>The product supports historical research, blinded historical evaluation, causal-news historical evaluation, live observation, autonomous paper trading, real trading with confirmation, fully autonomous real trading within configured policy, and a separate background learning mode.</w:t>
      </w:r>
    </w:p>
    <w:p>
      <w:r>
        <w:t>The current mode is always explicit: the user can see whether the system is using historical, paper or real money and whether financial actions require confirmation. Background learning can remain active overnight or during the day while the computer is idle. Even when a strong remote model is unavailable, the system continues useful work such as deterministic analysis, historical replay, statistical reassessment, studying available material, organizing cumulative memory, evaluating sources, testing hypotheses and using local or other permitted models.</w:t>
      </w:r>
    </w:p>
    <w:p>
      <w:pPr/>
      <w:r>
        <w:t>Unattended trading requires an active runtime host. Closing the interface need not stop a separately running host, but a powered-off personal computer cannot continue local execution or monitoring. The product shows which host has authority, supports an explicitly configured always-on host, prevents two hosts from trading the same account concurrently, and explains which provider-native protective orders survive host loss.</w:t>
      </w:r>
    </w:p>
    <w:p>
      <w:pPr>
        <w:pStyle w:val="Heading1"/>
      </w:pPr>
      <w:r>
        <w:t>32. Economic objective and capital management</w:t>
      </w:r>
    </w:p>
    <w:p>
      <w:r>
        <w:t>AutoTrade has an explicit long-term economic objective: increase the user’s net capital after fees, slippage and risk. The user may define an ambitious long-term target, for example an aspirational goal of growing 100 dollars into one million dollars. That target is an optimization direction, not a promise. The system is not tied to a fixed daily percentage such as two or three percent; it determines pace, horizon, allocation and whether trading is justified inside the configured risk rules.</w:t>
      </w:r>
    </w:p>
    <w:p>
      <w:r>
        <w:t>The product remains suitable for small starting capital such as 100–200 dollars or euros. It accounts for minimum order size, fees, spread, liquidity and trading frequency and may leave capital unused when available opportunities do not justify deployment.</w:t>
      </w:r>
    </w:p>
    <w:p>
      <w:pPr/>
      <w:r>
        <w:t>Economics distinguish execution-adjusted trading return from operating return after market-data subscriptions, model calls and hosting. Cost budgets are explicit, especially for small capital. Risk is represented through constraints and distributional measures rather than subtracted as a fictitious cash charge. Deposits and withdrawals are excluded from strategy performance; funding, borrow charges, fees, rebates and currency effects are reconciled separately.</w:t>
      </w:r>
    </w:p>
    <w:p>
      <w:pPr>
        <w:pStyle w:val="Heading1"/>
      </w:pPr>
      <w:r>
        <w:t>33. Credential and permission safety</w:t>
      </w:r>
    </w:p>
    <w:p>
      <w:r>
        <w:t>Provider credentials should not be stored openly in the repository or exposed to agents without need. Where possible, market data uses read-only permissions while trading permission is granted separately.</w:t>
      </w:r>
    </w:p>
    <w:p>
      <w:r>
        <w:t>For real accounts, a trading credential should not have withdrawal permission when the provider allows these permissions to be separated. The user can inspect the permissions of each connection.</w:t>
      </w:r>
    </w:p>
    <w:p>
      <w:pPr/>
      <w:r>
        <w:t>Research material, news, model output and imported artifacts are untrusted inputs. They cannot grant tool permissions, reveal credentials or execute code by themselves. Withdrawal and external transfer capabilities are outside the trading agent authority. Users can export their evidence and memory, inspect retention settings and revoke a model or provider connection without concealing existing financial obligations.</w:t>
      </w:r>
    </w:p>
    <w:p>
      <w:pPr>
        <w:pStyle w:val="Heading1"/>
      </w:pPr>
      <w:r>
        <w:t>34. Product foundations reused from Autosport</w:t>
      </w:r>
    </w:p>
    <w:p>
      <w:r>
        <w:t>AutoTrade reuses domain-neutral product ideas rather than sports domain logic. These include causal replay without future knowledge, paper capital, portfolio and exposure, independent risk authority, decision and evidence logging, actual execution reality rather than intended price, learning cycles, cumulative durable memory, restart recovery, multi-agent orchestration, provider adapters, accessibility, authority policy and model routing where appropriate.</w:t>
      </w:r>
    </w:p>
    <w:p>
      <w:r>
        <w:t>Sports-specific concepts are not carried over: matches, teams, athletes, bookmaker odds, parlays, sports settlement rules, and bookmaker-specific domain behavior. AutoTrade is a separate product with a separate financial domain model.</w:t>
      </w:r>
    </w:p>
    <w:p>
      <w:pPr>
        <w:pStyle w:val="Heading1"/>
      </w:pPr>
      <w:r>
        <w:t>35. Example full live cycle</w:t>
      </w:r>
    </w:p>
    <w:p>
      <w:r>
        <w:t>The system operates autonomously in real time inside the primary connected account or, when policy allows, across several accounts. It observes the available market universe and concludes that several instruments do not offer sufficient edge while another market shows rising volatility and a consistent multi-horizon signal.</w:t>
      </w:r>
    </w:p>
    <w:p>
      <w:r>
        <w:t>Specialist agents examine price structure, liquidity, news and cross-market context. The critic highlights a major scheduled event in one hour. The portfolio manager independently determines size and may split capital across several positions. The capability registry identifies available implementations on the primary account; in multi-provider mode it also compares other funded accounts.</w:t>
      </w:r>
    </w:p>
    <w:p>
      <w:r>
        <w:t>Risk authority allows the trade only within defined loss limits. After submission, AutoTrade records the actual fill, establishes permitted protection, monitors the position, and records the net outcome. The episode later enters learning, but a new model is not automatically promoted without validation.</w:t>
      </w:r>
    </w:p>
    <w:p>
      <w:pPr>
        <w:pStyle w:val="Heading1"/>
      </w:pPr>
      <w:r>
        <w:t>36. Example historical learning cycle</w:t>
      </w:r>
    </w:p>
    <w:p>
      <w:r>
        <w:t>Before a simulated reality beginning January 1, 2024, the system trains only on permitted prior history. It then starts blinded replay: the agent sees anonymous instruments and not the true calendar date, and trades a segment with paper capital.</w:t>
      </w:r>
    </w:p>
    <w:p>
      <w:r>
        <w:t>At the end of the phase, the system pauses, analyzes errors, compares agents and strategies, creates a candidate version, and tests it on an untouched segment. A candidate is promoted only if it improves the required combination of return, risk, stability, and costs; otherwise it is rejected.</w:t>
      </w:r>
    </w:p>
    <w:p>
      <w:r>
        <w:t>A later information replay adds anonymized news. After historical qualification, the best models enter live paper trading on the real current date, where names are real and the future is objectively unknown.</w:t>
      </w:r>
    </w:p>
    <w:p>
      <w:pPr>
        <w:pStyle w:val="Heading1"/>
      </w:pPr>
      <w:r>
        <w:t>37. What “finished” means</w:t>
      </w:r>
    </w:p>
    <w:p>
      <w:r>
        <w:t>AutoTrade is not product-complete because it executed one successful trade. It is product-complete when the user can install the desktop version or open the accessible web interface, connect a supported account, define risk, autonomy and model policies, run historical and paper campaigns and use real trading either with confirmation or fully autonomously. In the finished product the agent independently maintains the trading cycle, portfolio, learning, cumulative memory, professional education and failure recovery.</w:t>
      </w:r>
    </w:p>
    <w:p>
      <w:r>
        <w:t>The system must be extensible with new venues, assets, strategies, agents, and data sources without rewriting the whole application. A provider or strategy is a replaceable capability, not the identity of AutoTrade.</w:t>
      </w:r>
    </w:p>
    <w:p>
      <w:pPr/>
      <w:r>
        <w:t>Completion requires demonstrated recovery, financial conservation, provider reconciliation, scientific qualification, accessible installation and complete keyboard/NVDA workflows. Engineering qualification and evidence of economic edge are separate claims: a technically working system must remain in observation or paper mode when no strategy has passed its required economic gates. Additional asset classes and providers qualify through the same contracts; an unsupported capability cannot silently appear as supported.</w:t>
      </w:r>
    </w:p>
    <w:p>
      <w:pPr>
        <w:pStyle w:val="Heading1"/>
      </w:pPr>
      <w:r>
        <w:t>38. Product truthfulness</w:t>
      </w:r>
    </w:p>
    <w:p>
      <w:r>
        <w:t>AutoTrade never promises guaranteed profit and never treats historical profitability as proof of future profitability. Historical results, live paper results, and real-money results are distinct evidence classes.</w:t>
      </w:r>
    </w:p>
    <w:p>
      <w:r>
        <w:t>Any claim of edge must be supported by sufficient causal evidence, cost and risk accounting, and unseen data outside the training sample. Negative results remain in memory just like positive results; failed strategies are not silently erased.</w:t>
      </w:r>
    </w:p>
    <w:p>
      <w:pPr>
        <w:pStyle w:val="Heading1"/>
      </w:pPr>
      <w:r>
        <w:t>39. Decisions intentionally deferred to the engineering specification</w:t>
      </w:r>
    </w:p>
    <w:p>
      <w:r>
        <w:t>This product document does not prescribe programming language, repository layout, agent message formats, database technologies, exact training algorithms, indicator libraries, Windows packaging mechanism, credential encryption design, or process topology.</w:t>
      </w:r>
    </w:p>
    <w:p>
      <w:r>
        <w:t>After product approval, the engineering specification should choose these implementation details to realize the target behavior while maximizing safe reuse of domain-neutral Autosport capabilities without importing sports logic.</w:t>
      </w:r>
    </w:p>
    <w:p>
      <w:pPr>
        <w:pStyle w:val="Heading1"/>
      </w:pPr>
      <w:r>
        <w:t>40. Final product formula</w:t>
      </w:r>
    </w:p>
    <w:p>
      <w:r>
        <w:t>AutoTrade is a universal accessible autonomous multi-agent system that knows the actual capabilities of the connected account, receives structured market data through official application programming interfaces, analyzes markets and external information, autonomously selects instrument, direction, time horizon, size and implementation method, manages portfolio and risk, executes permitted financial actions, reconciles actual outcomes and continuously improves.</w:t>
      </w:r>
    </w:p>
    <w:p>
      <w:r>
        <w:t>History is a training world with hidden future. The system’s brain is not one model: mathematical roles can operate without generative AI, intelligent roles use local or remote models under user policy, and dynamic routing may switch among permitted models according to task complexity. AutoTrade accumulates positive and negative experience, studies professional material, continues useful learning in background mode and does not erase old memory on every update. In real trading it can operate without continuous user involvement while pursuing long-term growth of net capital inside controlled risk.</w:t>
      </w:r>
    </w:p>
    <w:p>
      <w:pPr>
        <w:pStyle w:val="Heading1"/>
      </w:pPr>
      <w:r>
        <w:t>End of product specification.</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