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національний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університет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імені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Юрія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Федькович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DA1B8D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Історія румунської 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літературної 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  <w:lang w:val="ro-RO"/>
        </w:rPr>
        <w:t>мови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6E1922">
        <w:rPr>
          <w:rFonts w:ascii="Times New Roman" w:hAnsi="Times New Roman" w:cs="Times New Roman"/>
          <w:b/>
          <w:i/>
          <w:sz w:val="28"/>
          <w:szCs w:val="28"/>
          <w:lang w:val="ro-RO"/>
        </w:rPr>
        <w:t>Istoria limbii române literare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proofErr w:type="spellStart"/>
      <w:r w:rsidR="008C49B5" w:rsidRPr="00DA1B8D">
        <w:rPr>
          <w:rFonts w:ascii="Times New Roman" w:hAnsi="Times New Roman" w:cs="Times New Roman"/>
          <w:b/>
          <w:sz w:val="24"/>
          <w:szCs w:val="24"/>
        </w:rPr>
        <w:t>обов</w:t>
      </w:r>
      <w:proofErr w:type="spellEnd"/>
      <w:r w:rsidR="008C49B5" w:rsidRPr="00DA1B8D">
        <w:rPr>
          <w:rFonts w:ascii="Times New Roman" w:hAnsi="Times New Roman" w:cs="Times New Roman"/>
          <w:b/>
          <w:sz w:val="24"/>
          <w:szCs w:val="24"/>
        </w:rPr>
        <w:sym w:font="Symbol" w:char="F0A2"/>
      </w:r>
      <w:proofErr w:type="spellStart"/>
      <w:r w:rsidR="008C49B5" w:rsidRPr="00DA1B8D">
        <w:rPr>
          <w:rFonts w:ascii="Times New Roman" w:hAnsi="Times New Roman" w:cs="Times New Roman"/>
          <w:b/>
          <w:sz w:val="24"/>
          <w:szCs w:val="24"/>
        </w:rPr>
        <w:t>язкова</w:t>
      </w:r>
      <w:proofErr w:type="spellEnd"/>
      <w:r w:rsidR="008C49B5" w:rsidRPr="00DA1B8D">
        <w:rPr>
          <w:rFonts w:ascii="Times New Roman" w:hAnsi="Times New Roman" w:cs="Times New Roman"/>
          <w:b/>
          <w:sz w:val="24"/>
          <w:szCs w:val="24"/>
        </w:rPr>
        <w:t xml:space="preserve"> дисципліна</w:t>
      </w:r>
      <w:r w:rsidRPr="00DA1B8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</w:p>
    <w:p w:rsidR="00987D9C" w:rsidRPr="00987D9C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DA1B8D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DA1B8D" w:rsidRPr="00DA1B8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«Румунська мова та література»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014 Середня освіта (румунська мова та література)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 Освіта/Педагогіка)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перший бакалаврський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к.ф.н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асист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A26992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A26992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proofErr w:type="spellStart"/>
        <w:r w:rsidR="00FC7430" w:rsidRPr="00253709">
          <w:rPr>
            <w:rStyle w:val="a4"/>
            <w:lang w:val="ru-RU"/>
          </w:rPr>
          <w:t>felicia</w:t>
        </w:r>
        <w:proofErr w:type="spellEnd"/>
      </w:hyperlink>
      <w:r w:rsidR="00FC7430" w:rsidRPr="00FC7430">
        <w:t xml:space="preserve"> </w:t>
      </w:r>
    </w:p>
    <w:p w:rsidR="00324198" w:rsidRPr="00FC7430" w:rsidRDefault="00A26992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8A692E" w:rsidRDefault="00C77D6B" w:rsidP="008A692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Контактний </w:t>
      </w:r>
      <w:proofErr w:type="spellStart"/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тел</w:t>
      </w:r>
      <w:proofErr w:type="spellEnd"/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</w:t>
      </w:r>
      <w:hyperlink r:id="rId13" w:history="1">
        <w:r w:rsidR="008A692E">
          <w:rPr>
            <w:rStyle w:val="a4"/>
          </w:rPr>
          <w:t>https://moodle.chnu.edu.ua/course/view.php?id=1831</w:t>
        </w:r>
      </w:hyperlink>
    </w:p>
    <w:p w:rsidR="003D0AD3" w:rsidRPr="0049100D" w:rsidRDefault="003D0AD3" w:rsidP="003D0AD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 w:rsidR="0000433B" w:rsidRPr="0000433B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1</w:t>
      </w:r>
      <w:r w:rsidR="0000433B" w:rsidRPr="0000433B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,</w:t>
      </w:r>
      <w:r w:rsidR="0000433B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8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="00DA1B8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</w:p>
    <w:p w:rsidR="003D0AD3" w:rsidRPr="00CB1CF2" w:rsidRDefault="003D0AD3" w:rsidP="003D0AD3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).</w:t>
      </w:r>
    </w:p>
    <w:p w:rsidR="00C77D6B" w:rsidRPr="003D0AD3" w:rsidRDefault="00C77D6B" w:rsidP="003D0AD3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(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призначення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навчальної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).</w:t>
      </w:r>
    </w:p>
    <w:p w:rsidR="007C3C09" w:rsidRPr="0011659C" w:rsidRDefault="00A91421" w:rsidP="001165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59C">
        <w:rPr>
          <w:rFonts w:ascii="Times New Roman" w:hAnsi="Times New Roman" w:cs="Times New Roman"/>
          <w:sz w:val="28"/>
          <w:szCs w:val="28"/>
        </w:rPr>
        <w:t>Програму навчальної дисци</w:t>
      </w:r>
      <w:r w:rsidR="007C3C09" w:rsidRPr="0011659C">
        <w:rPr>
          <w:rFonts w:ascii="Times New Roman" w:hAnsi="Times New Roman" w:cs="Times New Roman"/>
          <w:sz w:val="28"/>
          <w:szCs w:val="28"/>
        </w:rPr>
        <w:t>пліни</w:t>
      </w:r>
      <w:r w:rsidR="0011659C" w:rsidRPr="0011659C">
        <w:rPr>
          <w:rFonts w:ascii="Times New Roman" w:hAnsi="Times New Roman" w:cs="Times New Roman"/>
          <w:sz w:val="28"/>
          <w:szCs w:val="28"/>
        </w:rPr>
        <w:t xml:space="preserve"> Історія румунської літературної мови</w:t>
      </w:r>
      <w:r w:rsidR="007C3C09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Pr="0011659C">
        <w:rPr>
          <w:rFonts w:ascii="Times New Roman" w:hAnsi="Times New Roman" w:cs="Times New Roman"/>
          <w:sz w:val="28"/>
          <w:szCs w:val="28"/>
        </w:rPr>
        <w:t>складено відповідно до освітньо-кваліфікаційного рівня підготовки бакалаврів спеціальності 014 Середня освіта (румунська мова та література).</w:t>
      </w:r>
      <w:r w:rsidR="00642C6F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="0011659C">
        <w:rPr>
          <w:rFonts w:ascii="Times New Roman" w:hAnsi="Times New Roman" w:cs="Times New Roman"/>
          <w:sz w:val="28"/>
          <w:szCs w:val="28"/>
        </w:rPr>
        <w:t>І</w:t>
      </w:r>
      <w:r w:rsidR="0011659C" w:rsidRPr="0011659C">
        <w:rPr>
          <w:rFonts w:ascii="Times New Roman" w:hAnsi="Times New Roman" w:cs="Times New Roman"/>
          <w:sz w:val="28"/>
          <w:szCs w:val="28"/>
        </w:rPr>
        <w:t xml:space="preserve">сторія літературної мови водночас визначає і завершує фахову підготовку філологів, формуючи цілісні знання із історії мови, літературної мови, </w:t>
      </w:r>
      <w:proofErr w:type="spellStart"/>
      <w:r w:rsidR="0011659C" w:rsidRPr="0011659C">
        <w:rPr>
          <w:rFonts w:ascii="Times New Roman" w:hAnsi="Times New Roman" w:cs="Times New Roman"/>
          <w:sz w:val="28"/>
          <w:szCs w:val="28"/>
        </w:rPr>
        <w:t>мовної</w:t>
      </w:r>
      <w:proofErr w:type="spellEnd"/>
      <w:r w:rsidR="0011659C" w:rsidRPr="0011659C">
        <w:rPr>
          <w:rFonts w:ascii="Times New Roman" w:hAnsi="Times New Roman" w:cs="Times New Roman"/>
          <w:sz w:val="28"/>
          <w:szCs w:val="28"/>
        </w:rPr>
        <w:t xml:space="preserve"> системи, зумовленості процесів у межах кожного з </w:t>
      </w:r>
      <w:proofErr w:type="spellStart"/>
      <w:r w:rsidR="0011659C" w:rsidRPr="0011659C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="0011659C" w:rsidRPr="0011659C">
        <w:rPr>
          <w:rFonts w:ascii="Times New Roman" w:hAnsi="Times New Roman" w:cs="Times New Roman"/>
          <w:sz w:val="28"/>
          <w:szCs w:val="28"/>
        </w:rPr>
        <w:t xml:space="preserve"> рівнів, тенденцій та перспектив розвитку мови.</w:t>
      </w:r>
    </w:p>
    <w:p w:rsidR="00C77D6B" w:rsidRDefault="00F35102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</w:t>
      </w:r>
    </w:p>
    <w:p w:rsidR="0011659C" w:rsidRPr="0028569F" w:rsidRDefault="0011659C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Мета викладання дисципліни Історія румунської літературної мови полягає в тому, щоб забезпечити наукове розуміння загальних закономірностей і тенденцій становлення фонетичного та граматичного рівнів системи сучасної румунської літературної мови. Завдання курсу історії румунської літературної мови полягає в засвоєнні студентами знань про історичний розвиток румунської літературної мови, еволюцію її стилів, лексичного складу, граматичної будови, її лексичних, граматичних і правописних норм у зв’язку з історією румунського народу та його культури. Зміна підходів у сучасній історичній науці, процеси її деідеологізації сприяють науково правдивому висвітленню суспільно-політичних умов розвитку румунської літературної мови з часу її зародження і донині.</w:t>
      </w:r>
    </w:p>
    <w:p w:rsidR="00642C6F" w:rsidRPr="0028569F" w:rsidRDefault="00706A1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  <w:proofErr w:type="spellStart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Пререквізити</w:t>
      </w:r>
      <w:proofErr w:type="spellEnd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</w:p>
    <w:p w:rsidR="00C77D6B" w:rsidRPr="0028569F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11659C"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Сучасна румунська мова</w:t>
      </w:r>
      <w:r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  <w:r w:rsidR="00B6597A" w:rsidRP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Історична граматика румунської мови</w:t>
      </w:r>
      <w:r w:rsidR="00B6597A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C77D6B" w:rsidRPr="0028569F" w:rsidRDefault="00706A1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en-US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знати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11659C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предмет, завдання, значення та основні поняття курсу історії румунської літературної мови;</w:t>
      </w:r>
    </w:p>
    <w:p w:rsidR="0011659C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періодизацію історії румунської літературної мови, основні етапи її становлення;</w:t>
      </w:r>
    </w:p>
    <w:p w:rsidR="0011659C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загальні тенденції формування літературно-писемної мови у межах кожного з періодів;</w:t>
      </w:r>
    </w:p>
    <w:p w:rsidR="0011659C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lastRenderedPageBreak/>
        <w:t>особливості писемних пам’яток румунської мови;</w:t>
      </w:r>
    </w:p>
    <w:p w:rsidR="0011659C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історію становлення румунського правопису;</w:t>
      </w:r>
    </w:p>
    <w:p w:rsidR="00E67F54" w:rsidRPr="0011659C" w:rsidRDefault="0011659C" w:rsidP="0011659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стан та перспективи дослідження істор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ії румунської літературної мови</w:t>
      </w:r>
      <w:r w:rsidR="00E67F54"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уміти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C1598C" w:rsidRPr="00C1598C" w:rsidRDefault="00C1598C" w:rsidP="00C1598C">
      <w:pPr>
        <w:pStyle w:val="a5"/>
        <w:numPr>
          <w:ilvl w:val="0"/>
          <w:numId w:val="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аналізувати особливості мови писемних пам’яток різних періодів, виявляти риси румунської мови,</w:t>
      </w:r>
    </w:p>
    <w:p w:rsidR="00C1598C" w:rsidRPr="00C1598C" w:rsidRDefault="00C1598C" w:rsidP="00C1598C">
      <w:pPr>
        <w:pStyle w:val="a5"/>
        <w:numPr>
          <w:ilvl w:val="0"/>
          <w:numId w:val="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інтерпретувати традиційні чи інноваційні </w:t>
      </w:r>
      <w:proofErr w:type="spellStart"/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мовні</w:t>
      </w:r>
      <w:proofErr w:type="spellEnd"/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явища кожного з періодів творення румунської </w:t>
      </w:r>
      <w:proofErr w:type="spellStart"/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літератуної</w:t>
      </w:r>
      <w:proofErr w:type="spellEnd"/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мови,</w:t>
      </w:r>
    </w:p>
    <w:p w:rsidR="00C1598C" w:rsidRPr="00C1598C" w:rsidRDefault="00C1598C" w:rsidP="00C1598C">
      <w:pPr>
        <w:pStyle w:val="a5"/>
        <w:numPr>
          <w:ilvl w:val="0"/>
          <w:numId w:val="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виявляти у текстах ознаки різних правописних систем. </w:t>
      </w:r>
    </w:p>
    <w:p w:rsidR="00E67F54" w:rsidRPr="0028569F" w:rsidRDefault="00E67F54" w:rsidP="0011659C">
      <w:pPr>
        <w:pStyle w:val="a5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E17335" w:rsidRDefault="00706A1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706A1B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:rsidR="00C77D6B" w:rsidRDefault="00706A1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US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4732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1141"/>
        <w:gridCol w:w="1269"/>
        <w:gridCol w:w="985"/>
        <w:gridCol w:w="667"/>
        <w:gridCol w:w="886"/>
        <w:gridCol w:w="1225"/>
        <w:gridCol w:w="1225"/>
        <w:gridCol w:w="985"/>
        <w:gridCol w:w="985"/>
        <w:gridCol w:w="985"/>
        <w:gridCol w:w="1105"/>
        <w:gridCol w:w="1959"/>
      </w:tblGrid>
      <w:tr w:rsidR="00C77D6B" w:rsidRPr="00E17335" w:rsidTr="00554EF7">
        <w:trPr>
          <w:trHeight w:val="419"/>
          <w:jc w:val="center"/>
        </w:trPr>
        <w:tc>
          <w:tcPr>
            <w:tcW w:w="1473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4EF7" w:rsidRDefault="00C77D6B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554EF7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</w:p>
          <w:p w:rsidR="004A67F6" w:rsidRDefault="00554EF7" w:rsidP="004A67F6">
            <w:pPr>
              <w:spacing w:after="0" w:line="240" w:lineRule="auto"/>
              <w:ind w:firstLine="709"/>
              <w:jc w:val="center"/>
            </w:pPr>
            <w:r w:rsidRPr="006E1922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 xml:space="preserve"> Історія румунської </w:t>
            </w:r>
            <w:r w:rsidRPr="006E192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літературної </w:t>
            </w:r>
            <w:r w:rsidRPr="006E1922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мови</w:t>
            </w:r>
            <w:r w:rsidR="004A67F6">
              <w:t xml:space="preserve"> </w:t>
            </w:r>
          </w:p>
          <w:p w:rsidR="00E15B04" w:rsidRPr="00E17335" w:rsidRDefault="00E15B04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E15B04" w:rsidRPr="00E17335" w:rsidTr="00554EF7">
        <w:trPr>
          <w:trHeight w:val="419"/>
          <w:jc w:val="center"/>
        </w:trPr>
        <w:tc>
          <w:tcPr>
            <w:tcW w:w="13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2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65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9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C77D6B" w:rsidRPr="00E17335" w:rsidRDefault="00E15B04" w:rsidP="00E15B04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4A67F6" w:rsidRPr="00E17335" w:rsidTr="00554EF7">
        <w:trPr>
          <w:trHeight w:val="1517"/>
          <w:jc w:val="center"/>
        </w:trPr>
        <w:tc>
          <w:tcPr>
            <w:tcW w:w="13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2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785E23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19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4A67F6" w:rsidRPr="00E17335" w:rsidTr="00554EF7">
        <w:trPr>
          <w:trHeight w:val="33"/>
          <w:jc w:val="center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4A67F6" w:rsidP="00706A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4A67F6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7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706A1B" w:rsidRDefault="00706A1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4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706A1B" w:rsidRDefault="00706A1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120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554EF7" w:rsidRDefault="00554EF7" w:rsidP="00706A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554EF7" w:rsidP="00706A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30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554EF7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30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706A1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52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706A1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706A1B" w:rsidRDefault="00706A1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4A67F6" w:rsidRPr="00E17335" w:rsidTr="006A7DE8">
        <w:trPr>
          <w:trHeight w:val="33"/>
          <w:jc w:val="center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4A67F6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4A67F6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6A7DE8" w:rsidRDefault="006A7DE8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4</w:t>
            </w: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554EF7" w:rsidRDefault="00C77D6B" w:rsidP="00706A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706A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C77D6B" w:rsidRDefault="00C77D6B" w:rsidP="00706A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Default="002A7DA9" w:rsidP="00706A1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5</w:t>
      </w:r>
      <w:r w:rsidR="00C77D6B"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DD7584" w:rsidRPr="00DD7584" w:rsidRDefault="00DD7584" w:rsidP="00DD758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tbl>
      <w:tblPr>
        <w:tblW w:w="5024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2"/>
        <w:gridCol w:w="711"/>
        <w:gridCol w:w="584"/>
        <w:gridCol w:w="687"/>
        <w:gridCol w:w="298"/>
        <w:gridCol w:w="413"/>
        <w:gridCol w:w="158"/>
        <w:gridCol w:w="550"/>
        <w:gridCol w:w="158"/>
        <w:gridCol w:w="705"/>
        <w:gridCol w:w="30"/>
        <w:gridCol w:w="116"/>
        <w:gridCol w:w="578"/>
        <w:gridCol w:w="6"/>
        <w:gridCol w:w="137"/>
        <w:gridCol w:w="12"/>
        <w:gridCol w:w="763"/>
        <w:gridCol w:w="12"/>
        <w:gridCol w:w="61"/>
        <w:gridCol w:w="15"/>
        <w:gridCol w:w="617"/>
        <w:gridCol w:w="91"/>
        <w:gridCol w:w="52"/>
        <w:gridCol w:w="76"/>
        <w:gridCol w:w="590"/>
        <w:gridCol w:w="122"/>
        <w:gridCol w:w="9"/>
        <w:gridCol w:w="12"/>
        <w:gridCol w:w="821"/>
        <w:gridCol w:w="15"/>
        <w:gridCol w:w="134"/>
        <w:gridCol w:w="571"/>
        <w:gridCol w:w="6"/>
        <w:gridCol w:w="116"/>
        <w:gridCol w:w="733"/>
        <w:gridCol w:w="6"/>
        <w:gridCol w:w="30"/>
        <w:gridCol w:w="30"/>
        <w:gridCol w:w="36"/>
        <w:gridCol w:w="6"/>
      </w:tblGrid>
      <w:tr w:rsidR="00425BB2" w:rsidRPr="00DD7584" w:rsidTr="00425BB2">
        <w:trPr>
          <w:gridAfter w:val="2"/>
          <w:wAfter w:w="15" w:type="pct"/>
          <w:cantSplit/>
        </w:trPr>
        <w:tc>
          <w:tcPr>
            <w:tcW w:w="1688" w:type="pct"/>
            <w:vMerge w:val="restart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298" w:type="pct"/>
            <w:gridSpan w:val="37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425BB2" w:rsidRPr="00DD7584" w:rsidTr="00425BB2">
        <w:trPr>
          <w:gridAfter w:val="2"/>
          <w:wAfter w:w="15" w:type="pct"/>
          <w:cantSplit/>
        </w:trPr>
        <w:tc>
          <w:tcPr>
            <w:tcW w:w="1688" w:type="pct"/>
            <w:vMerge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643" w:type="pct"/>
            <w:gridSpan w:val="1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1655" w:type="pct"/>
            <w:gridSpan w:val="24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425BB2" w:rsidRPr="00DD7584" w:rsidTr="00425BB2">
        <w:trPr>
          <w:gridAfter w:val="3"/>
          <w:wAfter w:w="25" w:type="pct"/>
          <w:cantSplit/>
        </w:trPr>
        <w:tc>
          <w:tcPr>
            <w:tcW w:w="1688" w:type="pct"/>
            <w:vMerge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4" w:type="pct"/>
            <w:vMerge w:val="restart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ru-RU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407" w:type="pct"/>
            <w:gridSpan w:val="11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306" w:type="pct"/>
            <w:gridSpan w:val="5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341" w:type="pct"/>
            <w:gridSpan w:val="19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425BB2" w:rsidRPr="00DD7584" w:rsidTr="00425BB2">
        <w:trPr>
          <w:gridAfter w:val="5"/>
          <w:wAfter w:w="37" w:type="pct"/>
          <w:cantSplit/>
        </w:trPr>
        <w:tc>
          <w:tcPr>
            <w:tcW w:w="1688" w:type="pct"/>
            <w:vMerge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4" w:type="pct"/>
            <w:vMerge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33" w:type="pct"/>
            <w:gridSpan w:val="2"/>
          </w:tcPr>
          <w:p w:rsidR="00DD7584" w:rsidRPr="00FB1139" w:rsidRDefault="00FB1139" w:rsidP="00DD75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ro-RO" w:eastAsia="ru-RU"/>
              </w:rPr>
              <w:t>c</w:t>
            </w:r>
          </w:p>
        </w:tc>
        <w:tc>
          <w:tcPr>
            <w:tcW w:w="294" w:type="pct"/>
            <w:gridSpan w:val="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  <w:proofErr w:type="spellEnd"/>
          </w:p>
        </w:tc>
        <w:tc>
          <w:tcPr>
            <w:tcW w:w="228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с.р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31" w:type="pct"/>
            <w:gridSpan w:val="7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3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79" w:type="pct"/>
            <w:gridSpan w:val="5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79" w:type="pct"/>
            <w:gridSpan w:val="3"/>
          </w:tcPr>
          <w:p w:rsidR="00DD7584" w:rsidRPr="00DD7584" w:rsidRDefault="00FB1139" w:rsidP="00FB1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34" w:type="pct"/>
            <w:gridSpan w:val="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  <w:proofErr w:type="spellEnd"/>
          </w:p>
        </w:tc>
        <w:tc>
          <w:tcPr>
            <w:tcW w:w="279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</w:t>
            </w:r>
          </w:p>
        </w:tc>
      </w:tr>
      <w:tr w:rsidR="00425BB2" w:rsidRPr="00DD7584" w:rsidTr="00425BB2">
        <w:trPr>
          <w:gridAfter w:val="5"/>
          <w:wAfter w:w="37" w:type="pct"/>
        </w:trPr>
        <w:tc>
          <w:tcPr>
            <w:tcW w:w="1688" w:type="pct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234" w:type="pct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294" w:type="pct"/>
            <w:gridSpan w:val="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228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331" w:type="pct"/>
            <w:gridSpan w:val="7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3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79" w:type="pct"/>
            <w:gridSpan w:val="5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79" w:type="pct"/>
            <w:gridSpan w:val="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234" w:type="pct"/>
            <w:gridSpan w:val="3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279" w:type="pct"/>
            <w:gridSpan w:val="2"/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425BB2" w:rsidRPr="00DD7584" w:rsidTr="00425BB2">
        <w:trPr>
          <w:gridAfter w:val="2"/>
          <w:wAfter w:w="15" w:type="pct"/>
          <w:cantSplit/>
          <w:trHeight w:val="257"/>
        </w:trPr>
        <w:tc>
          <w:tcPr>
            <w:tcW w:w="4985" w:type="pct"/>
            <w:gridSpan w:val="38"/>
            <w:tcBorders>
              <w:bottom w:val="single" w:sz="4" w:space="0" w:color="auto"/>
            </w:tcBorders>
          </w:tcPr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o-RO" w:eastAsia="ru-RU"/>
              </w:rPr>
            </w:pPr>
          </w:p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1.</w:t>
            </w:r>
          </w:p>
          <w:p w:rsidR="00DD7584" w:rsidRPr="00DD7584" w:rsidRDefault="00DD7584" w:rsidP="00DD7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8"/>
                <w:szCs w:val="28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PRELIMINARII TEORETICE</w:t>
            </w: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literară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Noţiuni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generale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34" w:type="pct"/>
            <w:shd w:val="clear" w:color="auto" w:fill="auto"/>
          </w:tcPr>
          <w:p w:rsidR="00DD7584" w:rsidRPr="00A26992" w:rsidRDefault="00A26992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4" w:type="pct"/>
            <w:gridSpan w:val="2"/>
          </w:tcPr>
          <w:p w:rsidR="00DD7584" w:rsidRPr="006C44B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554EF7" w:rsidRDefault="00554EF7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" w:type="pct"/>
            <w:gridSpan w:val="3"/>
          </w:tcPr>
          <w:p w:rsidR="00DD7584" w:rsidRPr="0049243C" w:rsidRDefault="00A26992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Originea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34" w:type="pct"/>
            <w:shd w:val="clear" w:color="auto" w:fill="auto"/>
          </w:tcPr>
          <w:p w:rsidR="00DD7584" w:rsidRPr="00DD7584" w:rsidRDefault="00A26992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554EF7" w:rsidRDefault="00554EF7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8" w:type="pct"/>
            <w:gridSpan w:val="3"/>
          </w:tcPr>
          <w:p w:rsidR="00DD7584" w:rsidRPr="00DD7584" w:rsidRDefault="00A26992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DD75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234" w:type="pct"/>
            <w:shd w:val="clear" w:color="auto" w:fill="auto"/>
          </w:tcPr>
          <w:p w:rsidR="00DD7584" w:rsidRPr="00DD7584" w:rsidRDefault="008445E9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DD7584" w:rsidRDefault="00554EF7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8" w:type="pct"/>
            <w:gridSpan w:val="3"/>
          </w:tcPr>
          <w:p w:rsidR="00DD7584" w:rsidRPr="00DD7584" w:rsidRDefault="00A26992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DD75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2"/>
          <w:wAfter w:w="15" w:type="pct"/>
        </w:trPr>
        <w:tc>
          <w:tcPr>
            <w:tcW w:w="4985" w:type="pct"/>
            <w:gridSpan w:val="38"/>
          </w:tcPr>
          <w:p w:rsidR="00DD7584" w:rsidRPr="00DD7584" w:rsidRDefault="00DD7584" w:rsidP="00DD75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</w:p>
          <w:p w:rsidR="00DD7584" w:rsidRPr="00DD7584" w:rsidRDefault="00DD7584" w:rsidP="00DD75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2.</w:t>
            </w:r>
          </w:p>
          <w:p w:rsidR="00DD7584" w:rsidRPr="00DD7584" w:rsidRDefault="00DD7584" w:rsidP="00DD75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EPOCA VECHE </w:t>
            </w:r>
            <w:r w:rsidRPr="00DD75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(1521, 1532 – 1780)</w:t>
            </w: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Începuturile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literare</w:t>
            </w:r>
            <w:proofErr w:type="spellEnd"/>
          </w:p>
        </w:tc>
        <w:tc>
          <w:tcPr>
            <w:tcW w:w="234" w:type="pct"/>
            <w:shd w:val="clear" w:color="auto" w:fill="auto"/>
          </w:tcPr>
          <w:p w:rsidR="00DD7584" w:rsidRPr="00364EDB" w:rsidRDefault="00364EDB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</w:p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şi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stilul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scrierilor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religioase</w:t>
            </w:r>
            <w:proofErr w:type="spellEnd"/>
          </w:p>
        </w:tc>
        <w:tc>
          <w:tcPr>
            <w:tcW w:w="234" w:type="pct"/>
            <w:shd w:val="clear" w:color="auto" w:fill="auto"/>
          </w:tcPr>
          <w:p w:rsidR="00DD7584" w:rsidRPr="00DD7584" w:rsidRDefault="00364EDB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şi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stilul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literaturii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istoriografice</w:t>
            </w:r>
            <w:proofErr w:type="spellEnd"/>
          </w:p>
        </w:tc>
        <w:tc>
          <w:tcPr>
            <w:tcW w:w="234" w:type="pct"/>
            <w:shd w:val="clear" w:color="auto" w:fill="auto"/>
          </w:tcPr>
          <w:p w:rsidR="00DD7584" w:rsidRPr="00DD7584" w:rsidRDefault="00364EDB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</w:t>
            </w:r>
          </w:p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şi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stilul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literaturii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beletristice</w:t>
            </w:r>
            <w:proofErr w:type="spellEnd"/>
          </w:p>
        </w:tc>
        <w:tc>
          <w:tcPr>
            <w:tcW w:w="234" w:type="pct"/>
            <w:shd w:val="clear" w:color="auto" w:fill="auto"/>
          </w:tcPr>
          <w:p w:rsidR="00DD7584" w:rsidRPr="008445E9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364ED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8445E9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238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</w:t>
            </w:r>
          </w:p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Dezvoltarea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în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sec. al XVII-lea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şi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al XVIII-lea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până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la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Şcoala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Ardeleană</w:t>
            </w:r>
            <w:proofErr w:type="spellEnd"/>
          </w:p>
        </w:tc>
        <w:tc>
          <w:tcPr>
            <w:tcW w:w="234" w:type="pct"/>
            <w:shd w:val="clear" w:color="auto" w:fill="auto"/>
          </w:tcPr>
          <w:p w:rsidR="00DD7584" w:rsidRPr="008445E9" w:rsidRDefault="00364EDB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8445E9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238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4"/>
          <w:wAfter w:w="35" w:type="pct"/>
        </w:trPr>
        <w:tc>
          <w:tcPr>
            <w:tcW w:w="16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</w:t>
            </w: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</w:p>
        </w:tc>
        <w:tc>
          <w:tcPr>
            <w:tcW w:w="234" w:type="pct"/>
            <w:shd w:val="clear" w:color="auto" w:fill="auto"/>
          </w:tcPr>
          <w:p w:rsidR="00DD7584" w:rsidRPr="00DD7584" w:rsidRDefault="00364EDB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4</w:t>
            </w:r>
            <w:r w:rsidR="008445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8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4" w:type="pct"/>
            <w:gridSpan w:val="2"/>
          </w:tcPr>
          <w:p w:rsidR="00DD7584" w:rsidRPr="008445E9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238" w:type="pct"/>
            <w:gridSpan w:val="3"/>
          </w:tcPr>
          <w:p w:rsidR="00DD7584" w:rsidRPr="008445E9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18</w:t>
            </w:r>
          </w:p>
        </w:tc>
        <w:tc>
          <w:tcPr>
            <w:tcW w:w="30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gridSpan w:val="4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2"/>
          <w:wAfter w:w="15" w:type="pct"/>
          <w:cantSplit/>
        </w:trPr>
        <w:tc>
          <w:tcPr>
            <w:tcW w:w="4985" w:type="pct"/>
            <w:gridSpan w:val="38"/>
          </w:tcPr>
          <w:p w:rsidR="00DD7584" w:rsidRPr="00DD7584" w:rsidRDefault="00DD7584" w:rsidP="00891CEA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</w:pPr>
          </w:p>
          <w:p w:rsidR="00DD7584" w:rsidRPr="00DD7584" w:rsidRDefault="00DD7584" w:rsidP="00891CEA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Змістовий модуль </w:t>
            </w: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:rsidR="00DD7584" w:rsidRPr="00DD7584" w:rsidRDefault="00DD7584" w:rsidP="00891CEA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EPOCA MODERNĂ</w:t>
            </w:r>
          </w:p>
        </w:tc>
      </w:tr>
      <w:tr w:rsidR="00425BB2" w:rsidRPr="00DD7584" w:rsidTr="00425BB2">
        <w:tc>
          <w:tcPr>
            <w:tcW w:w="1922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1. </w:t>
            </w:r>
          </w:p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Perioada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tranzi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ţ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(1780-1840). 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Școala Ardeleană. </w:t>
            </w:r>
          </w:p>
        </w:tc>
        <w:tc>
          <w:tcPr>
            <w:tcW w:w="192" w:type="pct"/>
            <w:shd w:val="clear" w:color="auto" w:fill="auto"/>
          </w:tcPr>
          <w:p w:rsidR="00DD7584" w:rsidRPr="00DD7584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24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241" w:type="pct"/>
            <w:gridSpan w:val="4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280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pct"/>
            <w:gridSpan w:val="3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9" w:type="pct"/>
            <w:gridSpan w:val="3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  <w:gridSpan w:val="8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1"/>
          <w:wAfter w:w="3" w:type="pct"/>
        </w:trPr>
        <w:tc>
          <w:tcPr>
            <w:tcW w:w="1922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2. </w:t>
            </w:r>
          </w:p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Contribuţii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ale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cărturarilor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din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Principate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cultivarea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modernizarea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92" w:type="pct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24" w:type="pct"/>
            <w:gridSpan w:val="2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" w:type="pct"/>
            <w:gridSpan w:val="2"/>
          </w:tcPr>
          <w:p w:rsidR="00DD7584" w:rsidRPr="00DD7584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3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279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5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7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1"/>
          <w:wAfter w:w="3" w:type="pct"/>
        </w:trPr>
        <w:tc>
          <w:tcPr>
            <w:tcW w:w="1922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</w:t>
            </w:r>
          </w:p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Perioada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modernă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Direcţii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în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dezvoltarea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moderne</w:t>
            </w:r>
            <w:proofErr w:type="spellEnd"/>
            <w:r w:rsidRPr="00DD75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92" w:type="pct"/>
            <w:shd w:val="clear" w:color="auto" w:fill="auto"/>
          </w:tcPr>
          <w:p w:rsidR="00DD7584" w:rsidRPr="008445E9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445E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  <w:gridSpan w:val="2"/>
            <w:shd w:val="clear" w:color="auto" w:fill="auto"/>
          </w:tcPr>
          <w:p w:rsidR="00DD7584" w:rsidRPr="00DD7584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" w:type="pct"/>
            <w:gridSpan w:val="2"/>
          </w:tcPr>
          <w:p w:rsidR="00DD7584" w:rsidRPr="00DD7584" w:rsidRDefault="00364EDB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3"/>
          </w:tcPr>
          <w:p w:rsidR="00DD7584" w:rsidRPr="008445E9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237" w:type="pct"/>
            <w:gridSpan w:val="3"/>
          </w:tcPr>
          <w:p w:rsidR="00DD7584" w:rsidRPr="00A26992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279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5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7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1"/>
          <w:wAfter w:w="3" w:type="pct"/>
        </w:trPr>
        <w:tc>
          <w:tcPr>
            <w:tcW w:w="1922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Разом за змістовим модулем </w:t>
            </w: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192" w:type="pct"/>
            <w:shd w:val="clear" w:color="auto" w:fill="auto"/>
          </w:tcPr>
          <w:p w:rsidR="00DD7584" w:rsidRPr="008445E9" w:rsidRDefault="00364EDB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46</w:t>
            </w:r>
          </w:p>
        </w:tc>
        <w:tc>
          <w:tcPr>
            <w:tcW w:w="324" w:type="pct"/>
            <w:gridSpan w:val="2"/>
            <w:shd w:val="clear" w:color="auto" w:fill="auto"/>
          </w:tcPr>
          <w:p w:rsidR="00DD7584" w:rsidRPr="00DD7584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8" w:type="pct"/>
            <w:gridSpan w:val="2"/>
          </w:tcPr>
          <w:p w:rsidR="00DD7584" w:rsidRPr="00DD7584" w:rsidRDefault="00364EDB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3"/>
          </w:tcPr>
          <w:p w:rsidR="00DD7584" w:rsidRPr="008445E9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237" w:type="pct"/>
            <w:gridSpan w:val="3"/>
          </w:tcPr>
          <w:p w:rsidR="00DD7584" w:rsidRPr="00DD7584" w:rsidRDefault="008445E9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79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5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7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5BB2" w:rsidRPr="00DD7584" w:rsidTr="00425BB2">
        <w:trPr>
          <w:gridAfter w:val="1"/>
          <w:wAfter w:w="3" w:type="pct"/>
        </w:trPr>
        <w:tc>
          <w:tcPr>
            <w:tcW w:w="1922" w:type="pct"/>
            <w:gridSpan w:val="2"/>
          </w:tcPr>
          <w:p w:rsidR="00DD7584" w:rsidRPr="00DD7584" w:rsidRDefault="00DD7584" w:rsidP="00891CEA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:rsidR="00DD7584" w:rsidRPr="00DD7584" w:rsidRDefault="00DD7584" w:rsidP="00891CEA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192" w:type="pct"/>
            <w:shd w:val="clear" w:color="auto" w:fill="auto"/>
          </w:tcPr>
          <w:p w:rsidR="00DD7584" w:rsidRPr="00DD7584" w:rsidRDefault="003B622F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24" w:type="pct"/>
            <w:gridSpan w:val="2"/>
            <w:shd w:val="clear" w:color="auto" w:fill="auto"/>
          </w:tcPr>
          <w:p w:rsidR="00DD7584" w:rsidRPr="00DD7584" w:rsidRDefault="00554EF7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88" w:type="pct"/>
            <w:gridSpan w:val="2"/>
          </w:tcPr>
          <w:p w:rsidR="00DD7584" w:rsidRPr="00DD7584" w:rsidRDefault="00554EF7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33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3"/>
          </w:tcPr>
          <w:p w:rsidR="00DD7584" w:rsidRPr="008445E9" w:rsidRDefault="008445E9" w:rsidP="00891C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237" w:type="pct"/>
            <w:gridSpan w:val="3"/>
          </w:tcPr>
          <w:p w:rsidR="00DD7584" w:rsidRPr="00DD7584" w:rsidRDefault="003B622F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79" w:type="pct"/>
            <w:gridSpan w:val="4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" w:type="pct"/>
            <w:gridSpan w:val="5"/>
            <w:shd w:val="clear" w:color="auto" w:fill="auto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" w:type="pct"/>
            <w:gridSpan w:val="2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" w:type="pct"/>
            <w:gridSpan w:val="5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" w:type="pct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" w:type="pct"/>
            <w:gridSpan w:val="7"/>
          </w:tcPr>
          <w:p w:rsidR="00DD7584" w:rsidRPr="00DD7584" w:rsidRDefault="00DD7584" w:rsidP="00891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D7584" w:rsidRPr="00DD7584" w:rsidRDefault="00DD7584" w:rsidP="00891C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2C4A69" w:rsidRDefault="002C4A69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C4A69" w:rsidRPr="00E17335" w:rsidRDefault="002C4A69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E67F54" w:rsidRDefault="00E67F54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A7DA9" w:rsidRPr="00562C57" w:rsidRDefault="002A7DA9" w:rsidP="002A7DA9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.3</w:t>
      </w:r>
      <w:r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Самостійна робота</w:t>
      </w:r>
    </w:p>
    <w:p w:rsidR="002A7DA9" w:rsidRPr="008764CA" w:rsidRDefault="002A7DA9" w:rsidP="002A7DA9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tbl>
      <w:tblPr>
        <w:tblW w:w="507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9073"/>
        <w:gridCol w:w="16"/>
      </w:tblGrid>
      <w:tr w:rsidR="002A7DA9" w:rsidRPr="008764CA" w:rsidTr="0059780D">
        <w:trPr>
          <w:trHeight w:val="387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2A7DA9" w:rsidRPr="008764CA" w:rsidRDefault="002A7DA9" w:rsidP="0059780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</w:tr>
      <w:tr w:rsidR="002A7DA9" w:rsidRPr="008764CA" w:rsidTr="0059780D">
        <w:trPr>
          <w:gridAfter w:val="1"/>
          <w:wAfter w:w="8" w:type="pct"/>
          <w:trHeight w:val="315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1.</w:t>
            </w:r>
          </w:p>
        </w:tc>
      </w:tr>
      <w:tr w:rsidR="002A7DA9" w:rsidRPr="008764CA" w:rsidTr="0059780D">
        <w:trPr>
          <w:trHeight w:val="236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-8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Caracterul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normat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și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caracterul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cultivat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2A7DA9" w:rsidRPr="008764CA" w:rsidTr="0059780D">
        <w:trPr>
          <w:trHeight w:val="202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raport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cu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nivelul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sistemului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cu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nivelul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vorbirii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2A7DA9" w:rsidRPr="008764CA" w:rsidTr="0059780D">
        <w:trPr>
          <w:gridAfter w:val="1"/>
          <w:wAfter w:w="8" w:type="pct"/>
          <w:trHeight w:val="433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2A7DA9" w:rsidRPr="008764CA" w:rsidTr="0059780D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1. 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Cadrul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social-politic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cultural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care au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apărut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primele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româneşti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Scrisul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românesc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istoria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alfabetului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Caracteristicile generale ale primelor texte româneşti. Particularităţi fonetice, lexicale, morfologice şi sintactice. Elemente dialectale.</w:t>
            </w:r>
          </w:p>
        </w:tc>
      </w:tr>
      <w:tr w:rsidR="002A7DA9" w:rsidRPr="008764CA" w:rsidTr="0059780D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2. 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Contribuţia primelor scrieri la impunerea unei norme fonetice şi lexicale supradialectale. Îmbogăţirea vocabularului. Trăsături dialectale (caracterul lor periferic în sistemul limbii). </w:t>
            </w:r>
          </w:p>
        </w:tc>
      </w:tr>
      <w:tr w:rsidR="002A7DA9" w:rsidRPr="008764CA" w:rsidTr="0059780D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Trăsături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lingvistice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generale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fonetice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lexicale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gramaticale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ale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literaturii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istoriografice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Elemente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arhaice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regionale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populare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savante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Trăsături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stilistice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Oralitatea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stilului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Arta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naraţiunii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descrierii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2A7DA9" w:rsidRPr="008764CA" w:rsidTr="0059780D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Literatura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beletristică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propriu-zisă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–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versurile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stema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ţării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ode,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povestiri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istorice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versuri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Viaţa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lumii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 M.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Costin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Psaltirea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versuri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Dosoftei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Istoria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ieroglifică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Cantemir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Începuturile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stilului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retoric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Didahiile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Antim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Ivireanu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valoarea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artistică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predicilor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sale.</w:t>
            </w:r>
          </w:p>
        </w:tc>
      </w:tr>
      <w:tr w:rsidR="002A7DA9" w:rsidRPr="008764CA" w:rsidTr="0059780D">
        <w:trPr>
          <w:trHeight w:val="433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5.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Căile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pătrundere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influenţelor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străine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Structura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fonetică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morfologie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sintaxă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lexic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2A7DA9" w:rsidRPr="008764CA" w:rsidTr="0059780D">
        <w:trPr>
          <w:gridAfter w:val="1"/>
          <w:wAfter w:w="8" w:type="pct"/>
          <w:trHeight w:val="308"/>
        </w:trPr>
        <w:tc>
          <w:tcPr>
            <w:tcW w:w="499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Змістовий модуль 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  <w:r w:rsidRPr="008764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2A7DA9" w:rsidRPr="008764CA" w:rsidTr="0059780D"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Probleme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ortografie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ortoepie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discuţia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reprezentanţilor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Şcolii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Ardelene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  <w:p w:rsidR="002A7DA9" w:rsidRPr="008764CA" w:rsidRDefault="002A7DA9" w:rsidP="00597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ro-RO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Încercări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normare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2A7DA9" w:rsidRPr="008764CA" w:rsidTr="0059780D"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Preocupări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pentru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simplificarea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alfabetului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fixarea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normelor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ortografice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Încercări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normare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culte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intermediul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gramaticii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2A7DA9" w:rsidRPr="008764CA" w:rsidTr="0059780D">
        <w:trPr>
          <w:trHeight w:val="869"/>
        </w:trPr>
        <w:tc>
          <w:tcPr>
            <w:tcW w:w="3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465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DA9" w:rsidRPr="008764CA" w:rsidRDefault="002A7DA9" w:rsidP="0059780D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Principiile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A. T.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Laurian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Activitatea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Cipariu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Trăsături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perioada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modernă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“Dacia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literară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”.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Contribuţia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Alecu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Russo la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dezvoltarea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Contribuţia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Titu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Maiorescu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dezvoltarea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române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</w:tbl>
    <w:p w:rsidR="002A7DA9" w:rsidRPr="008764CA" w:rsidRDefault="002A7DA9" w:rsidP="002A7DA9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562C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Тематика індивідуальних завдань</w:t>
      </w:r>
    </w:p>
    <w:p w:rsidR="00E10F87" w:rsidRPr="00562C57" w:rsidRDefault="00E10F87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tbl>
      <w:tblPr>
        <w:tblW w:w="8921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219"/>
      </w:tblGrid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  <w:proofErr w:type="spellStart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Limba</w:t>
            </w:r>
            <w:proofErr w:type="spellEnd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şi</w:t>
            </w:r>
            <w:proofErr w:type="spellEnd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stilul</w:t>
            </w:r>
            <w:proofErr w:type="spellEnd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istoriografiei</w:t>
            </w:r>
            <w:proofErr w:type="spellEnd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8764CA"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moldoveneşti</w:t>
            </w:r>
            <w:proofErr w:type="spellEnd"/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4471B6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562C57" w:rsidRDefault="008764CA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şi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stilul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istoriografiei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muntene</w:t>
            </w:r>
            <w:proofErr w:type="spellEnd"/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4471B6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8764CA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Activitatea tipografică a diaconului Coresi.</w:t>
            </w:r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4471B6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8764CA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Însemnătatea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literaturii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istorice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evoluţia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române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8764CA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Preocupări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pentru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problemele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la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cărturarii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epocii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vechi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lastRenderedPageBreak/>
              <w:t>6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8764CA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Rolul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Școlii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Ardelene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formarea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mâ</w:t>
            </w:r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literare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8764CA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ale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influenţei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franceze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în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prima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jumătate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secolului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al XIX-lea.</w:t>
            </w:r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8764CA" w:rsidRDefault="008764CA" w:rsidP="008764C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Contribuţia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marilor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clasici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la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dezvoltarea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limbii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române</w:t>
            </w:r>
            <w:proofErr w:type="spellEnd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764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literare</w:t>
            </w:r>
            <w:proofErr w:type="spellEnd"/>
          </w:p>
        </w:tc>
      </w:tr>
    </w:tbl>
    <w:p w:rsidR="00E10F87" w:rsidRPr="00E10F87" w:rsidRDefault="00E10F87" w:rsidP="00E10F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kern w:val="24"/>
          <w:sz w:val="24"/>
          <w:szCs w:val="24"/>
        </w:rPr>
      </w:pPr>
    </w:p>
    <w:p w:rsidR="00F250F7" w:rsidRPr="005F3234" w:rsidRDefault="00F250F7" w:rsidP="005F3234">
      <w:pPr>
        <w:spacing w:after="0" w:line="240" w:lineRule="auto"/>
        <w:ind w:left="142" w:firstLine="425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Індивідуальні завдання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(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ІНДЗ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8764CA" w:rsidRPr="008764CA" w:rsidRDefault="008764CA" w:rsidP="00876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764CA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 scris şi de prezentat comunicări pe temele date. </w:t>
      </w:r>
    </w:p>
    <w:p w:rsidR="008764CA" w:rsidRPr="00F35102" w:rsidRDefault="008764CA" w:rsidP="008764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şi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stilul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istoriografiei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moldoveneşti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cronicile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Gr.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Ureche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M.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Costin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I.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Neculce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Hronicul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Cantemir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etc.). 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şi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stilul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istoriografiei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muntene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(R.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Popescu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C.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Cantacuzino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510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Activitatea tipografică a diaconului Coresi.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Începuturile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stilului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ştiinţific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Însemnătatea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literaturii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istorice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evoluţia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Preocupări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problemele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cărturarii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epocii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vechi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Rolul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Școlii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Ardelene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formarea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Aspecte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ale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influenţei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franceze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jumătate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secolului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 XIX-lea.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Începuturile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stilului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retoric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F3510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Didahiile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Antim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Ivireanu</w:t>
      </w:r>
      <w:proofErr w:type="spellEnd"/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Contribuţia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Alecu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Russo la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dezvoltarea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Contribuţia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Maiorescu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dezvoltarea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764CA" w:rsidRPr="00F35102" w:rsidRDefault="008764CA" w:rsidP="008764CA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Contribuţia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marilor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clasici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dezvoltarea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limbii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române</w:t>
      </w:r>
      <w:proofErr w:type="spellEnd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35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literare</w:t>
      </w:r>
      <w:proofErr w:type="spellEnd"/>
    </w:p>
    <w:p w:rsidR="00F35102" w:rsidRPr="008764CA" w:rsidRDefault="00F35102" w:rsidP="008764CA">
      <w:pP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C77D6B" w:rsidRDefault="00C77D6B" w:rsidP="005F3234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25573A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7</w:t>
      </w:r>
      <w:r w:rsidR="00C77D6B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77D6B" w:rsidRPr="00A1227C" w:rsidRDefault="00C77D6B" w:rsidP="005F3234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 w:rsidR="005F3234"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 w:rsidR="005F3234"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 w:rsidR="005F3234"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 w:rsidR="005F3234"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C77D6B" w:rsidRPr="005F3234" w:rsidRDefault="00C77D6B" w:rsidP="005F3234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</w:t>
      </w:r>
      <w:r w:rsidRPr="00E968C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uk-UA"/>
        </w:rPr>
        <w:t>Історія румунської літературної мови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 оцінюється відповідно до виконанням ними навчального плану.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Оцінка А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вільно володіє матеріалом навчальної дисципліни, розуміє предмет, методологію, структуру, місце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сучасної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румунської мови серед інших дисциплін;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засвоїв основні поняття і категорії синтаксису  румунської мови, може дати їх визначення, показати логічний взаємозв'язок;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- демонструє ґрунтовні знання не тільки лекційних тем курсів, а й основної та додаткової рекомендованої літератури;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переносить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раніше засвоєні знання і вміння в нову ситуацію;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сформував цілісне концептуальне розуміння сучасної румунської мови: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засвоїв обов'язковий обсяг програмного матеріалу, основного переліку джерел із лекційного та семінарського курсів з синтаксису румунської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розуміє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категорійно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-поняттєвий апарат дисциплін;</w:t>
      </w:r>
    </w:p>
    <w:p w:rsidR="00E968CF" w:rsidRPr="00E968CF" w:rsidRDefault="00E968CF" w:rsidP="00E96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переносить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раніше засвоєні знання і вміння в нову ситуацію;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моделює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мовні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й позамовні поняття, явища та закономірності, проте власні висновки на ґрунті спостережень викликають труднощі;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E968CF" w:rsidRPr="00E968CF" w:rsidRDefault="00E968CF" w:rsidP="00E968CF">
      <w:pPr>
        <w:numPr>
          <w:ilvl w:val="0"/>
          <w:numId w:val="12"/>
        </w:numPr>
        <w:tabs>
          <w:tab w:val="left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o-RO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орієнтується в проблемному полі синтаксису румунської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r w:rsidRPr="00E968C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посередньо засвоїв основні поняття і категорії, визначення дає поверхові, не систематизовані;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E968CF" w:rsidRPr="00E968CF" w:rsidRDefault="00E968CF" w:rsidP="00E96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E968CF" w:rsidRPr="00E968CF" w:rsidRDefault="00E968CF" w:rsidP="00E968CF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E968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E968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E968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і семінарських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E968CF" w:rsidRPr="00E968CF" w:rsidRDefault="00E968CF" w:rsidP="00E968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13BC" w:rsidRPr="000213BC" w:rsidRDefault="000213BC" w:rsidP="000213BC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Розподіл балів, які отримують студенти</w:t>
      </w:r>
    </w:p>
    <w:p w:rsidR="00E968CF" w:rsidRPr="00E968CF" w:rsidRDefault="00E968CF" w:rsidP="00E968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80"/>
        <w:gridCol w:w="708"/>
        <w:gridCol w:w="567"/>
        <w:gridCol w:w="709"/>
        <w:gridCol w:w="708"/>
        <w:gridCol w:w="568"/>
        <w:gridCol w:w="708"/>
        <w:gridCol w:w="568"/>
        <w:gridCol w:w="565"/>
        <w:gridCol w:w="21"/>
        <w:gridCol w:w="10"/>
        <w:gridCol w:w="1246"/>
        <w:gridCol w:w="1276"/>
        <w:gridCol w:w="42"/>
      </w:tblGrid>
      <w:tr w:rsidR="00E968CF" w:rsidRPr="00E968CF" w:rsidTr="00E968CF">
        <w:tc>
          <w:tcPr>
            <w:tcW w:w="6687" w:type="dxa"/>
            <w:gridSpan w:val="12"/>
          </w:tcPr>
          <w:p w:rsidR="00E968CF" w:rsidRPr="00E968CF" w:rsidRDefault="00E968CF" w:rsidP="00E9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40F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Поточне оцінювання (</w:t>
            </w:r>
            <w:r w:rsidRPr="004540F4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eastAsia="uk-UA"/>
              </w:rPr>
              <w:t>аудиторна та самостійна робота</w:t>
            </w:r>
            <w:r w:rsidRPr="004540F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1246" w:type="dxa"/>
          </w:tcPr>
          <w:p w:rsidR="00E968CF" w:rsidRPr="00E968CF" w:rsidRDefault="002A7DA9" w:rsidP="002A7D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(залік</w:t>
            </w:r>
            <w:r w:rsidR="00E968CF"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318" w:type="dxa"/>
            <w:gridSpan w:val="2"/>
          </w:tcPr>
          <w:p w:rsidR="00E968CF" w:rsidRPr="00AC49D3" w:rsidRDefault="00E968CF" w:rsidP="00E968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E968CF" w:rsidRPr="00E968CF" w:rsidTr="00E968CF">
        <w:trPr>
          <w:gridAfter w:val="1"/>
          <w:wAfter w:w="42" w:type="dxa"/>
        </w:trPr>
        <w:tc>
          <w:tcPr>
            <w:tcW w:w="1555" w:type="dxa"/>
            <w:gridSpan w:val="2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</w:tc>
        <w:tc>
          <w:tcPr>
            <w:tcW w:w="3260" w:type="dxa"/>
            <w:gridSpan w:val="5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862" w:type="dxa"/>
            <w:gridSpan w:val="4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№3</w:t>
            </w:r>
          </w:p>
        </w:tc>
        <w:tc>
          <w:tcPr>
            <w:tcW w:w="1256" w:type="dxa"/>
            <w:gridSpan w:val="2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68CF" w:rsidRPr="00E968CF" w:rsidTr="00E968CF">
        <w:trPr>
          <w:gridAfter w:val="1"/>
          <w:wAfter w:w="42" w:type="dxa"/>
        </w:trPr>
        <w:tc>
          <w:tcPr>
            <w:tcW w:w="675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880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567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709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56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56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565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277" w:type="dxa"/>
            <w:gridSpan w:val="3"/>
            <w:vMerge w:val="restart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276" w:type="dxa"/>
            <w:vMerge w:val="restart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E968CF" w:rsidRPr="00E968CF" w:rsidTr="00E968CF">
        <w:trPr>
          <w:gridAfter w:val="1"/>
          <w:wAfter w:w="42" w:type="dxa"/>
        </w:trPr>
        <w:tc>
          <w:tcPr>
            <w:tcW w:w="675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0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7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68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65" w:type="dxa"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68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77" w:type="dxa"/>
            <w:gridSpan w:val="3"/>
            <w:vMerge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/>
          </w:tcPr>
          <w:p w:rsidR="00E968CF" w:rsidRPr="00E968CF" w:rsidRDefault="00E968CF" w:rsidP="00E9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968CF" w:rsidRPr="00E968CF" w:rsidRDefault="00E968CF" w:rsidP="00E968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5573A" w:rsidRDefault="0025573A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kern w:val="24"/>
          <w:sz w:val="24"/>
          <w:szCs w:val="36"/>
          <w:lang w:eastAsia="uk-UA"/>
        </w:rPr>
      </w:pPr>
      <w:r>
        <w:rPr>
          <w:b/>
          <w:bCs/>
          <w:color w:val="000000"/>
          <w:kern w:val="24"/>
          <w:szCs w:val="36"/>
        </w:rPr>
        <w:br w:type="page"/>
      </w:r>
    </w:p>
    <w:p w:rsidR="00C77D6B" w:rsidRPr="006E4631" w:rsidRDefault="0025573A" w:rsidP="00C77D6B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lastRenderedPageBreak/>
        <w:t>8</w:t>
      </w:r>
      <w:r w:rsidR="00C77D6B" w:rsidRPr="006E4631">
        <w:rPr>
          <w:b/>
          <w:bCs/>
          <w:color w:val="000000"/>
          <w:kern w:val="24"/>
          <w:szCs w:val="36"/>
        </w:rPr>
        <w:t>. Рекомендована література</w:t>
      </w: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Базова (основна)</w:t>
      </w:r>
    </w:p>
    <w:p w:rsidR="00E968CF" w:rsidRPr="00E968CF" w:rsidRDefault="00E968CF" w:rsidP="00E968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Bulgăr, Gh.,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stilistică şi limbă literară,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Didactică şi Pedagogică, Bucureşti, 1971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Cazacu, B.,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limbă literară. Probleme actuale ale cercetării ei,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1960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Chivu, Gheorghe,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Civilizaţie şi cultură. Consideraţii asupra limbajului bisericesc actual,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Academiei, Bucureşti, 1997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Coteanu, L,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Româna literară şi problemele ei principale,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1961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ru-RU"/>
        </w:rPr>
      </w:pPr>
      <w:r w:rsidRPr="00E968CF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ro-RO" w:eastAsia="ru-RU"/>
        </w:rPr>
        <w:t xml:space="preserve">De </w:t>
      </w:r>
      <w:smartTag w:uri="urn:schemas-microsoft-com:office:smarttags" w:element="PersonName">
        <w:smartTagPr>
          <w:attr w:name="ProductID" w:val="la Varlaam"/>
        </w:smartTagPr>
        <w:r w:rsidRPr="00E968CF">
          <w:rPr>
            <w:rFonts w:ascii="Times New Roman" w:eastAsia="Times New Roman" w:hAnsi="Times New Roman" w:cs="Times New Roman"/>
            <w:i/>
            <w:iCs/>
            <w:spacing w:val="-4"/>
            <w:sz w:val="28"/>
            <w:szCs w:val="28"/>
            <w:lang w:val="ro-RO" w:eastAsia="ru-RU"/>
          </w:rPr>
          <w:t>la Varlaam</w:t>
        </w:r>
      </w:smartTag>
      <w:r w:rsidRPr="00E968CF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ro-RO" w:eastAsia="ru-RU"/>
        </w:rPr>
        <w:t xml:space="preserve"> la Sadoveanu. Studii despre limba şi stilul scriitorilor, </w:t>
      </w:r>
      <w:r w:rsidRPr="00E968CF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>Bucureşti, 1958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 xml:space="preserve">Gheţie, Ion, </w:t>
      </w:r>
      <w:r w:rsidRPr="00E968CF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ro-RO" w:eastAsia="ru-RU"/>
        </w:rPr>
        <w:t xml:space="preserve">Baza dialectală a românei literare, </w:t>
      </w:r>
      <w:r w:rsidRPr="00E968CF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>Editura Academiei, Bucureşti, 1975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Gheţie, Ion,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Introducere în studiul limbii române 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 şi Enciclopedică, Bucureşti, 1982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Grecu, Victor V., </w:t>
      </w:r>
      <w:r w:rsidRPr="00E968CF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Şcoala ardeleană şi unitatea limbii române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Facla, Timişoara, 1973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Istrate, Gavril,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Originea limbii române 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Junimea, Iaşi, 1981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Ivănescu, G.,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Istoria limbii române,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Junimea, Iaşi, 1980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Ivănescu, G., </w:t>
      </w:r>
      <w:r w:rsidRPr="00E968CF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Studii de istoria limbii române literare, </w:t>
      </w: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Editura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Junimea, Iaşi, 1989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Macrea, D.,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Contribuţii la istoria lingvisticii şi filologiei româneşti,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 şi Enciclopedică, Bucureşti, 1978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Macrea, D.,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istorie a limbii şi lingvisticii române,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Didactică şi Pedagogică, Bucureşti, 1965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Mancaş, Mihaela,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Istoria limbii române literare. Perioada modernă (secolul al XIX-lea),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Universitatea din Bucureşti, 1974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Mancaş, Mihaela,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Limbajul artistic românesc în secolul al XlX-lea,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 şi Enciclopedică, Bucureşti, 1983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Mancaş, Mihaela,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Limbajul artistic românesc în secolul XX </w:t>
      </w:r>
      <w:r w:rsidRPr="00E968CF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(1900-1950), </w:t>
      </w: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>Editura Ştiinţifică, Bucureşti, 1991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Munteanu, Ştefan, Ţâra, Vasile D.,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Istoria limbii române literare,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ediţie revăzută şi adăugită, Editura Didactică şi Pedagogică, Bucureşti, 1983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lastRenderedPageBreak/>
        <w:t xml:space="preserve">Nicolescu, Aurel,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Şcoala ardeleană şi limba română, </w:t>
      </w: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Editura Ştiinţifică, Bucureşti, 1971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Rosetti, Al., Cazacu, B., Onu, Liviu,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Istoria limbii române literare, voi.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fr-FR" w:eastAsia="ru-RU"/>
        </w:rPr>
        <w:t xml:space="preserve">I,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De la origini pînă la începutul secolului al 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fr-FR" w:eastAsia="ru-RU"/>
        </w:rPr>
        <w:t>XIX-</w:t>
      </w:r>
      <w:r w:rsidRPr="00E968CF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val="ro-RO" w:eastAsia="ru-RU"/>
        </w:rPr>
        <w:t xml:space="preserve">lea, </w:t>
      </w:r>
      <w:r w:rsidRPr="00E968CF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ediţia a II-a, Editura Minerva, Bucureşti, 1971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Şcoala ardeleană,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Ediţie critică, note, bibliografie şi glosar </w:t>
      </w: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de Florea Fugariu, Editura Minerva, Bucureşti, vol. </w:t>
      </w: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en-GB" w:eastAsia="ru-RU"/>
        </w:rPr>
        <w:t xml:space="preserve">I, </w:t>
      </w:r>
      <w:r w:rsidRPr="00E968CF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1983, vol.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II,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1984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Ursu, N. A.,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Formarea terminologiei ştiinţifice româneşti,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Ştiinţifică, Bucureşti, 1962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Vaida, Petru,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Dimitrie Cantemir şi umanismul,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1972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Vintilă-Rădulescu, Ioana,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Terminologia şi problemele ei actuale,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Academiei, Bucureşti, 1990</w:t>
      </w:r>
    </w:p>
    <w:p w:rsidR="00E968CF" w:rsidRPr="00E968CF" w:rsidRDefault="00E968CF" w:rsidP="00E968CF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Zugun, Petru, </w:t>
      </w:r>
      <w:r w:rsidRPr="00E968C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Unitate şi varietate în evoluţia limbii române literare</w:t>
      </w:r>
      <w:r w:rsidRPr="00E968CF">
        <w:rPr>
          <w:rFonts w:ascii="Times New Roman" w:eastAsia="Times New Roman" w:hAnsi="Times New Roman" w:cs="Times New Roman"/>
          <w:iCs/>
          <w:sz w:val="28"/>
          <w:szCs w:val="28"/>
          <w:lang w:val="ro-RO" w:eastAsia="ru-RU"/>
        </w:rPr>
        <w:t xml:space="preserve">, </w:t>
      </w:r>
      <w:r w:rsidRPr="00E968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Junimea, Iaşi, 1977</w:t>
      </w:r>
    </w:p>
    <w:p w:rsidR="00E968CF" w:rsidRPr="00E968CF" w:rsidRDefault="00E968CF" w:rsidP="0013006B">
      <w:pPr>
        <w:tabs>
          <w:tab w:val="left" w:pos="1701"/>
          <w:tab w:val="left" w:pos="3119"/>
          <w:tab w:val="left" w:pos="623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Допоміжна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Bulgăr, Gh.,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Momentul Eminescu în evoluţia limbii române literare,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Minerva, Bucureşti, 1971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Bulgăr, Gh.,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Problemele limbii literare în concepţia scriitorilor români,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Didactică şi Pedagogică, Bucureşti, 1966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Chivu, Gh.,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 română de la primele texte pînă la sfîrşitul secolului al XVIII-lea. Variante stilistice,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Univers Enciclopedic, Bucureşti, 2000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Costinescu, Mariana,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Normele limbii literare în gramaticile româneşti,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Ştiinţifică, Bucureşti, 1979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Diaconescu,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I.,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Vasile Alecsandri şi problemele limbii române literare din vremea sa,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 AUB, Limba şi literatura română, XVIII (1960), p. 353-362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Diaconescu, Paula,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Elemente de istorie a limbii române literare moderne, </w:t>
      </w:r>
      <w:r w:rsidRPr="00703225">
        <w:rPr>
          <w:rFonts w:ascii="Times New Roman" w:eastAsia="Times New Roman" w:hAnsi="Times New Roman" w:cs="Times New Roman"/>
          <w:iCs/>
          <w:sz w:val="28"/>
          <w:szCs w:val="28"/>
          <w:lang w:val="ro-RO" w:eastAsia="ru-RU"/>
        </w:rPr>
        <w:t>Partea 1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 ,Probleme de normare a limbii literare moderne (1830-1880),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Bucureşti, 1974 ; </w:t>
      </w:r>
      <w:r w:rsidRPr="00703225">
        <w:rPr>
          <w:rFonts w:ascii="Times New Roman" w:eastAsia="Times New Roman" w:hAnsi="Times New Roman" w:cs="Times New Roman"/>
          <w:iCs/>
          <w:sz w:val="28"/>
          <w:szCs w:val="28"/>
          <w:lang w:val="ro-RO" w:eastAsia="ru-RU"/>
        </w:rPr>
        <w:t>Partea a II-a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, Evoluţia stilului artistic în secolul al XlX-lea,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1975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Dimitriu, C,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Romanitatea vocabularului unor texte vechi româneşti. Studiu statistic,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Junimea, Iaşi, 1973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 xml:space="preserve">Eliade, Pompiliu,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Influenţa franceză asupra spiritului public în România. Originile,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1982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Hristea, Theodor, </w:t>
      </w:r>
      <w:r w:rsidRPr="00703225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Probleme de etimologie, </w:t>
      </w:r>
      <w:r w:rsidRPr="00703225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Editura Ştiinţifică,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Bucureşti, 1968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Iacob, Niculina,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Limbajul biblic românesc (1640-1800),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voi. </w:t>
      </w:r>
      <w:r w:rsidRPr="00703225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>I-II, Editura Universităţii "Ştefan cel Mare", Suceava, 2001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Iordan, Iorgu,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 literară. Studii şi articole,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"Scrisul românesc", Craiova, 1977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Irimia, D., </w:t>
      </w:r>
      <w:r w:rsidRPr="00703225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val="ro-RO" w:eastAsia="ru-RU"/>
        </w:rPr>
        <w:t xml:space="preserve">Limbajul poetic eminescian, </w:t>
      </w:r>
      <w:r w:rsidRPr="00703225">
        <w:rPr>
          <w:rFonts w:ascii="Times New Roman" w:eastAsia="Times New Roman" w:hAnsi="Times New Roman" w:cs="Times New Roman"/>
          <w:spacing w:val="-1"/>
          <w:sz w:val="28"/>
          <w:szCs w:val="28"/>
          <w:lang w:val="ro-RO" w:eastAsia="ru-RU"/>
        </w:rPr>
        <w:t xml:space="preserve">Editura Junimea, Iaşi,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1979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Istrate, Gavril,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Limba română literară. Studii şi articole,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Minerva, Bucureşti, 1970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Macrea, D.,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Terminologia ştiinţifică şi tehnică în limba română contemporană,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 CL, XI (1966), nr. 1, p. 17-24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Mirea, George,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Junimea. Implicaţii lingvistice,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Junimea, Iaşi, 1983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Munteanu, Eugen,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Studii de lexicologie biblică,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Editura Universităţii "Al.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I.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Cuza", Iaşi, 1995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Oprea, Ioan,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Terminologia filozofică românească modernă. Studiu asupra epocii de formare,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Ştiinţifică, Bucureşti, 1996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Pamfil, Carmen-Gabriela,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Contribuţia lui Timotei Cipariu la teoria limbii,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 LR, XXXII (1983), p. 83-95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Papadima, Ovidiu,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Ipostaze ale iluminismului românesc,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Minerva, Bucureşti, 1975</w:t>
      </w:r>
      <w:bookmarkStart w:id="0" w:name="_GoBack"/>
      <w:bookmarkEnd w:id="0"/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Philippide, Alexandru,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Opere alese. Teoria Limbii,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Academiei, Bucureşti, 1983</w:t>
      </w:r>
    </w:p>
    <w:p w:rsidR="00703225" w:rsidRP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Sala, Marius (coord.),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Enciclopedia limbii române,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Univers Enciclopedic, Bucureşti, 2001</w:t>
      </w:r>
    </w:p>
    <w:p w:rsidR="00703225" w:rsidRDefault="00703225" w:rsidP="0070322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Seche, Mircea, </w:t>
      </w:r>
      <w:r w:rsidRPr="00703225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Schiţă de istorie a lexicografei române, </w:t>
      </w:r>
      <w:r w:rsidRPr="0070322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Editura Ştiinţifică, Bucureşti, vol I, 1966, vol. II, 1969</w:t>
      </w:r>
    </w:p>
    <w:p w:rsidR="00461984" w:rsidRPr="00703225" w:rsidRDefault="00461984" w:rsidP="00461984">
      <w:pPr>
        <w:shd w:val="clear" w:color="auto" w:fill="FFFFFF"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C77D6B" w:rsidRPr="006E4631" w:rsidRDefault="00C77D6B" w:rsidP="00C77D6B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  <w:rPr>
          <w:sz w:val="18"/>
        </w:rPr>
      </w:pPr>
      <w:r w:rsidRPr="006E4631">
        <w:rPr>
          <w:b/>
          <w:bCs/>
          <w:color w:val="000000"/>
          <w:kern w:val="24"/>
          <w:szCs w:val="36"/>
        </w:rPr>
        <w:t>Інформаційні ресурси</w:t>
      </w:r>
    </w:p>
    <w:p w:rsidR="00C77D6B" w:rsidRPr="004540F4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13006B" w:rsidRPr="00461984" w:rsidRDefault="00A26992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4" w:history="1">
        <w:r w:rsidR="00461984" w:rsidRPr="00461984">
          <w:rPr>
            <w:rStyle w:val="a4"/>
            <w:sz w:val="28"/>
            <w:szCs w:val="28"/>
          </w:rPr>
          <w:t>https://moodle.chnu.edu.ua/course/view.php?id=1831</w:t>
        </w:r>
      </w:hyperlink>
    </w:p>
    <w:p w:rsidR="0013006B" w:rsidRPr="00461984" w:rsidRDefault="00A26992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5" w:history="1">
        <w:r w:rsidR="0013006B" w:rsidRPr="00461984">
          <w:rPr>
            <w:rFonts w:ascii="Times New Roman" w:eastAsia="Times New Roman" w:hAnsi="Times New Roman" w:cs="Times New Roman"/>
            <w:color w:val="0000FF"/>
            <w:spacing w:val="-13"/>
            <w:sz w:val="28"/>
            <w:szCs w:val="28"/>
            <w:u w:val="single"/>
            <w:lang w:eastAsia="ru-RU"/>
          </w:rPr>
          <w:t>http://ebooks.unibuc.ro/Filologie.htm</w:t>
        </w:r>
      </w:hyperlink>
    </w:p>
    <w:p w:rsidR="002B4C71" w:rsidRDefault="002B4C71"/>
    <w:sectPr w:rsidR="002B4C71" w:rsidSect="009D5D34">
      <w:footerReference w:type="even" r:id="rId16"/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4AD" w:rsidRDefault="006714AD">
      <w:pPr>
        <w:spacing w:after="0" w:line="240" w:lineRule="auto"/>
      </w:pPr>
      <w:r>
        <w:separator/>
      </w:r>
    </w:p>
  </w:endnote>
  <w:endnote w:type="continuationSeparator" w:id="0">
    <w:p w:rsidR="006714AD" w:rsidRDefault="00671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992" w:rsidRDefault="00A26992" w:rsidP="008764C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26992" w:rsidRDefault="00A26992" w:rsidP="008764C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992" w:rsidRDefault="00A26992" w:rsidP="008764CA">
    <w:pPr>
      <w:pStyle w:val="a6"/>
      <w:framePr w:wrap="around" w:vAnchor="text" w:hAnchor="margin" w:xAlign="right" w:y="1"/>
      <w:rPr>
        <w:rStyle w:val="a8"/>
      </w:rPr>
    </w:pPr>
  </w:p>
  <w:p w:rsidR="00A26992" w:rsidRDefault="00A26992" w:rsidP="008764C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4AD" w:rsidRDefault="006714AD">
      <w:pPr>
        <w:spacing w:after="0" w:line="240" w:lineRule="auto"/>
      </w:pPr>
      <w:r>
        <w:separator/>
      </w:r>
    </w:p>
  </w:footnote>
  <w:footnote w:type="continuationSeparator" w:id="0">
    <w:p w:rsidR="006714AD" w:rsidRDefault="00671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11FFC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BC2EAE"/>
    <w:multiLevelType w:val="hybridMultilevel"/>
    <w:tmpl w:val="8A484F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56A6073"/>
    <w:multiLevelType w:val="hybridMultilevel"/>
    <w:tmpl w:val="E3EA45A0"/>
    <w:lvl w:ilvl="0" w:tplc="3C00164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3"/>
  </w:num>
  <w:num w:numId="5">
    <w:abstractNumId w:val="0"/>
  </w:num>
  <w:num w:numId="6">
    <w:abstractNumId w:val="5"/>
  </w:num>
  <w:num w:numId="7">
    <w:abstractNumId w:val="11"/>
  </w:num>
  <w:num w:numId="8">
    <w:abstractNumId w:val="15"/>
  </w:num>
  <w:num w:numId="9">
    <w:abstractNumId w:val="17"/>
  </w:num>
  <w:num w:numId="10">
    <w:abstractNumId w:val="16"/>
  </w:num>
  <w:num w:numId="11">
    <w:abstractNumId w:val="14"/>
  </w:num>
  <w:num w:numId="12">
    <w:abstractNumId w:val="10"/>
  </w:num>
  <w:num w:numId="13">
    <w:abstractNumId w:val="1"/>
  </w:num>
  <w:num w:numId="14">
    <w:abstractNumId w:val="8"/>
  </w:num>
  <w:num w:numId="15">
    <w:abstractNumId w:val="2"/>
  </w:num>
  <w:num w:numId="16">
    <w:abstractNumId w:val="6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0433B"/>
    <w:rsid w:val="000213BC"/>
    <w:rsid w:val="00063A1C"/>
    <w:rsid w:val="000A4EE8"/>
    <w:rsid w:val="0011659C"/>
    <w:rsid w:val="00126AD8"/>
    <w:rsid w:val="0013006B"/>
    <w:rsid w:val="001402A0"/>
    <w:rsid w:val="00152E54"/>
    <w:rsid w:val="001C3D24"/>
    <w:rsid w:val="0025573A"/>
    <w:rsid w:val="0028569F"/>
    <w:rsid w:val="002A7DA9"/>
    <w:rsid w:val="002B4C71"/>
    <w:rsid w:val="002C4A69"/>
    <w:rsid w:val="00324198"/>
    <w:rsid w:val="00364EDB"/>
    <w:rsid w:val="003B622F"/>
    <w:rsid w:val="003D0AD3"/>
    <w:rsid w:val="00425BB2"/>
    <w:rsid w:val="00445FD2"/>
    <w:rsid w:val="004471B6"/>
    <w:rsid w:val="00461984"/>
    <w:rsid w:val="00474C09"/>
    <w:rsid w:val="0049243C"/>
    <w:rsid w:val="004A67F6"/>
    <w:rsid w:val="005444E5"/>
    <w:rsid w:val="00554EF7"/>
    <w:rsid w:val="00567586"/>
    <w:rsid w:val="005F3234"/>
    <w:rsid w:val="00614178"/>
    <w:rsid w:val="00642C6F"/>
    <w:rsid w:val="006714AD"/>
    <w:rsid w:val="006957E4"/>
    <w:rsid w:val="006A7DE8"/>
    <w:rsid w:val="006C44B4"/>
    <w:rsid w:val="006E1922"/>
    <w:rsid w:val="00703225"/>
    <w:rsid w:val="00706A1B"/>
    <w:rsid w:val="00785E23"/>
    <w:rsid w:val="007C3C09"/>
    <w:rsid w:val="008445E9"/>
    <w:rsid w:val="008764CA"/>
    <w:rsid w:val="00891CEA"/>
    <w:rsid w:val="008A692E"/>
    <w:rsid w:val="008C49B5"/>
    <w:rsid w:val="00987D9C"/>
    <w:rsid w:val="009D5D34"/>
    <w:rsid w:val="00A26992"/>
    <w:rsid w:val="00A40E6C"/>
    <w:rsid w:val="00A91421"/>
    <w:rsid w:val="00AB4032"/>
    <w:rsid w:val="00AB48A8"/>
    <w:rsid w:val="00B06662"/>
    <w:rsid w:val="00B42A89"/>
    <w:rsid w:val="00B6597A"/>
    <w:rsid w:val="00C10564"/>
    <w:rsid w:val="00C1598C"/>
    <w:rsid w:val="00C77D6B"/>
    <w:rsid w:val="00CB318C"/>
    <w:rsid w:val="00DA1B8D"/>
    <w:rsid w:val="00DB22C5"/>
    <w:rsid w:val="00DD7584"/>
    <w:rsid w:val="00E10F87"/>
    <w:rsid w:val="00E15B04"/>
    <w:rsid w:val="00E34F12"/>
    <w:rsid w:val="00E3731C"/>
    <w:rsid w:val="00E62C68"/>
    <w:rsid w:val="00E67F54"/>
    <w:rsid w:val="00E968CF"/>
    <w:rsid w:val="00EB7475"/>
    <w:rsid w:val="00EF79E4"/>
    <w:rsid w:val="00F250F7"/>
    <w:rsid w:val="00F35102"/>
    <w:rsid w:val="00F41749"/>
    <w:rsid w:val="00FB1139"/>
    <w:rsid w:val="00FC7430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573B258A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461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1984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83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books.unibuc.ro/Filologie.htm" TargetMode="External"/><Relationship Id="rId10" Type="http://schemas.openxmlformats.org/officeDocument/2006/relationships/hyperlink" Target="http://philology.chnu.edu.ua/?page_id=2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hyperlink" Target="https://moodle.chnu.edu.ua/course/view.php?id=18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3080</Words>
  <Characters>17556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</dc:creator>
  <cp:keywords/>
  <dc:description/>
  <cp:lastModifiedBy>Фелічія</cp:lastModifiedBy>
  <cp:revision>16</cp:revision>
  <cp:lastPrinted>2020-09-29T04:22:00Z</cp:lastPrinted>
  <dcterms:created xsi:type="dcterms:W3CDTF">2021-09-27T17:16:00Z</dcterms:created>
  <dcterms:modified xsi:type="dcterms:W3CDTF">2021-09-27T18:39:00Z</dcterms:modified>
</cp:coreProperties>
</file>