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425289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DD70B6">
        <w:rPr>
          <w:rFonts w:ascii="Times New Roman" w:hAnsi="Times New Roman" w:cs="Times New Roman"/>
          <w:b/>
          <w:i/>
          <w:sz w:val="28"/>
          <w:szCs w:val="28"/>
        </w:rPr>
        <w:t>Психологія та культура мови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1C6E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70B6">
        <w:rPr>
          <w:rFonts w:ascii="Times New Roman" w:hAnsi="Times New Roman" w:cs="Times New Roman"/>
          <w:b/>
          <w:i/>
          <w:sz w:val="28"/>
          <w:szCs w:val="28"/>
          <w:lang w:val="ro-RO"/>
        </w:rPr>
        <w:t>Psihologia și cultura limbajului</w:t>
      </w:r>
      <w:r w:rsidR="001C6E0E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FA104B">
        <w:rPr>
          <w:rFonts w:ascii="Times New Roman" w:hAnsi="Times New Roman" w:cs="Times New Roman"/>
          <w:b/>
          <w:sz w:val="24"/>
          <w:szCs w:val="24"/>
        </w:rPr>
        <w:t>вибір</w:t>
      </w:r>
      <w:r w:rsidR="008C49B5" w:rsidRPr="00425289">
        <w:rPr>
          <w:rFonts w:ascii="Times New Roman" w:hAnsi="Times New Roman" w:cs="Times New Roman"/>
          <w:b/>
          <w:sz w:val="24"/>
          <w:szCs w:val="24"/>
        </w:rPr>
        <w:t>кова дисципліна</w:t>
      </w:r>
      <w:r w:rsidRPr="0042528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400FC4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425289"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</w:p>
    <w:p w:rsidR="00400FC4" w:rsidRDefault="00400FC4" w:rsidP="00400FC4">
      <w:pPr>
        <w:tabs>
          <w:tab w:val="left" w:pos="1560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54EB2" w:rsidRPr="00554EB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другий магістерський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0055F5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0055F5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0055F5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400FC4" w:rsidRDefault="00C77D6B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B55975" w:rsidRPr="00391BF9" w:rsidRDefault="00B55975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B55975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</w:t>
      </w:r>
      <w:r w:rsidRPr="00B5597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8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(</w:t>
      </w:r>
      <w:r w:rsidR="00391BF9"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B55975" w:rsidRPr="00CB1CF2" w:rsidRDefault="00B55975" w:rsidP="00B5597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:rsidR="00C77D6B" w:rsidRPr="00B55975" w:rsidRDefault="00C77D6B" w:rsidP="00B559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</w:t>
      </w:r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значення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</w:t>
      </w:r>
    </w:p>
    <w:p w:rsidR="006E44E0" w:rsidRDefault="006E44E0" w:rsidP="00C1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 xml:space="preserve">Програму навчальної дисципліни </w:t>
      </w:r>
      <w:r w:rsidR="00560032">
        <w:rPr>
          <w:rFonts w:ascii="Times New Roman" w:hAnsi="Times New Roman" w:cs="Times New Roman"/>
          <w:b/>
          <w:i/>
          <w:sz w:val="28"/>
          <w:szCs w:val="28"/>
        </w:rPr>
        <w:t>Психологія та культура мови</w:t>
      </w:r>
      <w:r w:rsidR="0056003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</w:t>
      </w:r>
      <w:r>
        <w:rPr>
          <w:rFonts w:ascii="Times New Roman" w:hAnsi="Times New Roman" w:cs="Times New Roman"/>
          <w:sz w:val="28"/>
          <w:szCs w:val="28"/>
        </w:rPr>
        <w:t>ліфікаційного рівня підготовки магістрів</w:t>
      </w:r>
      <w:r w:rsidRPr="0011659C">
        <w:rPr>
          <w:rFonts w:ascii="Times New Roman" w:hAnsi="Times New Roman" w:cs="Times New Roman"/>
          <w:sz w:val="28"/>
          <w:szCs w:val="28"/>
        </w:rPr>
        <w:t xml:space="preserve"> спеціальності </w:t>
      </w:r>
      <w:r w:rsidRPr="006E44E0">
        <w:rPr>
          <w:rFonts w:ascii="Times New Roman" w:hAnsi="Times New Roman" w:cs="Times New Roman"/>
          <w:i/>
          <w:sz w:val="28"/>
          <w:szCs w:val="28"/>
        </w:rPr>
        <w:t>014 Середня освіта (румунська мова та література)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4B5" w:rsidRPr="00B614B5">
        <w:rPr>
          <w:rFonts w:ascii="Times New Roman" w:hAnsi="Times New Roman" w:cs="Times New Roman"/>
          <w:sz w:val="28"/>
          <w:szCs w:val="28"/>
        </w:rPr>
        <w:t xml:space="preserve">В навчальній дисципліні представлено особливості інтерактивної комунікації, групової взаємодії; розглядаються психологічні особливості особистості задля забезпечення ефективного комунікаційного процесу. </w:t>
      </w:r>
    </w:p>
    <w:p w:rsidR="00C77D6B" w:rsidRDefault="00496782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6E44E0" w:rsidRDefault="006E44E0" w:rsidP="00CB1F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Метою викладання навчально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</w:t>
      </w:r>
      <w:r w:rsidR="00103DE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дисципліни </w:t>
      </w:r>
      <w:r w:rsidR="00CB1F71">
        <w:rPr>
          <w:rFonts w:ascii="Times New Roman" w:hAnsi="Times New Roman" w:cs="Times New Roman"/>
          <w:b/>
          <w:i/>
          <w:sz w:val="28"/>
          <w:szCs w:val="28"/>
        </w:rPr>
        <w:t>Психологія та культура мови</w:t>
      </w:r>
      <w:r w:rsidR="00CB1F71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15BD">
        <w:rPr>
          <w:rFonts w:ascii="Times New Roman" w:hAnsi="Times New Roman" w:cs="Times New Roman"/>
          <w:sz w:val="28"/>
          <w:szCs w:val="28"/>
        </w:rPr>
        <w:t xml:space="preserve">–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ознайомити із системою наукових та прикладних знань в</w:t>
      </w:r>
      <w:r w:rsid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психології міжособистісних та ділових відносин, також етики </w:t>
      </w:r>
      <w:proofErr w:type="spellStart"/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міжгрупової</w:t>
      </w:r>
      <w:proofErr w:type="spellEnd"/>
      <w:r w:rsid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взаємодії; сформувати основні засади комунікативної компетентності.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642C6F" w:rsidRPr="0028569F" w:rsidRDefault="00C11A36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824B0E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</w:pP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Риторика та культура мовлення. </w:t>
      </w:r>
    </w:p>
    <w:p w:rsidR="00C77D6B" w:rsidRPr="0028569F" w:rsidRDefault="00C11A36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11A36" w:rsidRDefault="00C11A36" w:rsidP="00C11A36">
      <w:pPr>
        <w:pStyle w:val="a9"/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 xml:space="preserve">У результаті вивчення навчальної дисципліни студент повинен набути таких </w:t>
      </w:r>
      <w:proofErr w:type="spellStart"/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компетентностей</w:t>
      </w:r>
      <w:proofErr w:type="spellEnd"/>
      <w:r w:rsidR="00117F14">
        <w:rPr>
          <w:rFonts w:eastAsiaTheme="minorHAnsi"/>
          <w:color w:val="000000" w:themeColor="text1"/>
          <w:kern w:val="24"/>
          <w:szCs w:val="28"/>
          <w:lang w:val="uk-UA" w:eastAsia="en-US"/>
        </w:rPr>
        <w:t xml:space="preserve">: </w:t>
      </w:r>
    </w:p>
    <w:p w:rsidR="00C11A36" w:rsidRDefault="00C11A36" w:rsidP="00B2105A">
      <w:pPr>
        <w:pStyle w:val="a9"/>
        <w:spacing w:after="0"/>
        <w:ind w:left="284" w:firstLine="425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знати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Предмет і об’єкт психології спілкування;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Визначення спілкування, діяльності, суспільних відносин;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Основні характеристики спілкування, форми і засоби спілкування;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Особливості спілкування як соціальної потреби людини, класифікацію основних функцій спілкування; </w:t>
      </w:r>
    </w:p>
    <w:p w:rsidR="00117F14" w:rsidRPr="00C11A36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>Поняття міжособистісне спілкування, рольове спілкування, соціа</w:t>
      </w:r>
      <w:r>
        <w:rPr>
          <w:lang w:val="uk-UA"/>
        </w:rPr>
        <w:t>льна позиція, соціальний статус.</w:t>
      </w:r>
    </w:p>
    <w:p w:rsidR="00C11A36" w:rsidRPr="00117F14" w:rsidRDefault="00C11A36" w:rsidP="00B2105A">
      <w:pPr>
        <w:pStyle w:val="a9"/>
        <w:spacing w:after="0"/>
        <w:ind w:left="1072"/>
        <w:jc w:val="both"/>
        <w:rPr>
          <w:lang w:val="uk-UA"/>
        </w:rPr>
      </w:pPr>
      <w:r w:rsidRPr="00117F14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уміти</w:t>
      </w:r>
      <w:r w:rsidRPr="00117F14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proofErr w:type="spellStart"/>
      <w:r>
        <w:t>визначати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факторів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комунікативний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>;</w:t>
      </w:r>
    </w:p>
    <w:p w:rsidR="00E238CC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r w:rsidRPr="00E238CC">
        <w:rPr>
          <w:lang w:val="uk-UA"/>
        </w:rPr>
        <w:t>визначати особливості та роль вербальних та невербальних засобів у</w:t>
      </w:r>
      <w:r>
        <w:rPr>
          <w:lang w:val="uk-UA"/>
        </w:rPr>
        <w:t xml:space="preserve"> </w:t>
      </w:r>
      <w:r w:rsidRPr="00E238CC">
        <w:rPr>
          <w:lang w:val="uk-UA"/>
        </w:rPr>
        <w:t>процесі організації комунікативної діяльності;</w:t>
      </w:r>
    </w:p>
    <w:p w:rsidR="00E238CC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r w:rsidRPr="00E238CC">
        <w:rPr>
          <w:lang w:val="uk-UA"/>
        </w:rPr>
        <w:t>аналізувати специфіку комунікації партнера;</w:t>
      </w:r>
    </w:p>
    <w:p w:rsidR="00496782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color w:val="000000" w:themeColor="text1"/>
          <w:kern w:val="24"/>
          <w:szCs w:val="28"/>
          <w:lang w:val="uk-UA"/>
        </w:rPr>
      </w:pPr>
      <w:r w:rsidRPr="00E238CC">
        <w:rPr>
          <w:lang w:val="uk-UA"/>
        </w:rPr>
        <w:t>досліджувати та аналізувати к</w:t>
      </w:r>
      <w:r>
        <w:rPr>
          <w:lang w:val="uk-UA"/>
        </w:rPr>
        <w:t>онкретні комунікативні ситуації.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Опис навчальної дисципліни</w:t>
      </w:r>
    </w:p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50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049"/>
        <w:gridCol w:w="1171"/>
        <w:gridCol w:w="1105"/>
        <w:gridCol w:w="1225"/>
        <w:gridCol w:w="753"/>
        <w:gridCol w:w="1225"/>
        <w:gridCol w:w="1165"/>
        <w:gridCol w:w="985"/>
        <w:gridCol w:w="985"/>
        <w:gridCol w:w="1210"/>
        <w:gridCol w:w="1179"/>
        <w:gridCol w:w="1736"/>
      </w:tblGrid>
      <w:tr w:rsidR="00C77D6B" w:rsidRPr="00E17335" w:rsidTr="002023E4">
        <w:trPr>
          <w:trHeight w:val="419"/>
          <w:jc w:val="center"/>
        </w:trPr>
        <w:tc>
          <w:tcPr>
            <w:tcW w:w="15046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7F6" w:rsidRDefault="00C77D6B" w:rsidP="004A67F6">
            <w:pPr>
              <w:spacing w:after="0" w:line="240" w:lineRule="auto"/>
              <w:ind w:firstLine="709"/>
              <w:jc w:val="center"/>
            </w:pPr>
            <w:r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FA104B"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B210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Психологія та культура мови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2023E4">
        <w:trPr>
          <w:trHeight w:val="419"/>
          <w:jc w:val="center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6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2023E4" w:rsidRPr="00E17335" w:rsidTr="002023E4">
        <w:trPr>
          <w:trHeight w:val="1517"/>
          <w:jc w:val="center"/>
        </w:trPr>
        <w:tc>
          <w:tcPr>
            <w:tcW w:w="1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3132E4" w:rsidP="004A67F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023E4" w:rsidRDefault="002023E4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</w:t>
            </w:r>
            <w:r w:rsidR="001D668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2023E4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1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1"/>
        <w:gridCol w:w="1135"/>
        <w:gridCol w:w="652"/>
        <w:gridCol w:w="849"/>
        <w:gridCol w:w="1055"/>
        <w:gridCol w:w="1052"/>
        <w:gridCol w:w="1065"/>
        <w:gridCol w:w="218"/>
        <w:gridCol w:w="719"/>
        <w:gridCol w:w="45"/>
        <w:gridCol w:w="698"/>
        <w:gridCol w:w="828"/>
        <w:gridCol w:w="1046"/>
        <w:gridCol w:w="837"/>
        <w:gridCol w:w="825"/>
      </w:tblGrid>
      <w:tr w:rsidR="002023E4" w:rsidRPr="002023E4" w:rsidTr="00E053FC">
        <w:trPr>
          <w:cantSplit/>
        </w:trPr>
        <w:tc>
          <w:tcPr>
            <w:tcW w:w="1365" w:type="pct"/>
            <w:vMerge w:val="restar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35" w:type="pct"/>
            <w:gridSpan w:val="14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Кількість годин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pct"/>
            <w:gridSpan w:val="6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Денна форма</w:t>
            </w:r>
          </w:p>
        </w:tc>
        <w:tc>
          <w:tcPr>
            <w:tcW w:w="1720" w:type="pct"/>
            <w:gridSpan w:val="8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Заочна форма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9" w:type="pct"/>
            <w:gridSpan w:val="2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11" w:type="pct"/>
            <w:gridSpan w:val="6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8" w:type="pct"/>
          </w:tcPr>
          <w:p w:rsidR="002023E4" w:rsidRPr="002023E4" w:rsidRDefault="001D6687" w:rsidP="002023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сем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9" w:type="pct"/>
            <w:gridSpan w:val="2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  <w:proofErr w:type="spellEnd"/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2023E4" w:rsidRPr="002023E4" w:rsidTr="006E44E0">
        <w:trPr>
          <w:cantSplit/>
          <w:trHeight w:val="257"/>
        </w:trPr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2023E4" w:rsidRPr="002023E4" w:rsidRDefault="00DC0E42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DC0E4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  <w:t>DIMENSIUNI PSIHOLOGICE ALE COMUNICĂRII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 </w:t>
            </w:r>
          </w:p>
          <w:p w:rsidR="002023E4" w:rsidRPr="006C335F" w:rsidRDefault="006C335F" w:rsidP="00350EB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Comunicarea: evoluții ale termenului; semnificații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pct"/>
          </w:tcPr>
          <w:p w:rsidR="002023E4" w:rsidRPr="006C0913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023E4" w:rsidRPr="004E0941" w:rsidRDefault="006C335F" w:rsidP="00135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Structura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și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componentele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actului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comunicativ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2023E4" w:rsidRPr="004E0941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Funcțiile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și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factorii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determinanți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comunicării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E053FC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  <w:r w:rsidRPr="004E09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:rsidR="002023E4" w:rsidRPr="004E0941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Tipologia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formelor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Разом за змістовим модулем 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2023E4"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6E44E0">
        <w:trPr>
          <w:cantSplit/>
        </w:trPr>
        <w:tc>
          <w:tcPr>
            <w:tcW w:w="5000" w:type="pct"/>
            <w:gridSpan w:val="15"/>
          </w:tcPr>
          <w:p w:rsidR="002023E4" w:rsidRPr="002023E4" w:rsidRDefault="002023E4" w:rsidP="002023E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2023E4" w:rsidRPr="00350EB0" w:rsidRDefault="00DC0E42" w:rsidP="00350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o-RO" w:eastAsia="ru-RU"/>
              </w:rPr>
            </w:pP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PSIHOLOGIA COMUNICĂRII DIN PERSPECTIVĂ EDUCAȚIONALĂ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Tema 1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Structura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discursului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cadrului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didactic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2023E4" w:rsidRPr="00335F76" w:rsidRDefault="00C21D1D" w:rsidP="00B21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Configurația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conceptuală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discursului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didactic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2023E4" w:rsidRPr="00335F76" w:rsidRDefault="00C21D1D" w:rsidP="00B21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Implicații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afectivității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în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în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managementul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educațional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Managementul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conflictelor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în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280" w:type="pct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23" w:type="pct"/>
            <w:gridSpan w:val="2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0" w:type="pct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3" w:type="pct"/>
            <w:gridSpan w:val="2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DC0E42" w:rsidRDefault="00DC0E42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DC0E42" w:rsidRDefault="00DC0E42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A44AD" w:rsidRDefault="00EA44AD" w:rsidP="00A501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lastRenderedPageBreak/>
        <w:t>5.3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8264"/>
      </w:tblGrid>
      <w:tr w:rsidR="002B7152" w:rsidRPr="00EA44AD" w:rsidTr="00A501C7">
        <w:trPr>
          <w:trHeight w:val="486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interacțiunilor comunicative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DC26D2" w:rsidRDefault="00FB0DBE" w:rsidP="00DC26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Funcțiile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comunicării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ca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proces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infuențare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socială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AB4CA4" w:rsidRDefault="00FB0DBE" w:rsidP="00FB0DBE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Elemente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determinante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ale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specificului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comunicării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manageriale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AB4CA4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Elemente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de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stres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în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climatul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de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comunicare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managerială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 xml:space="preserve">5. 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EA44AD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Strategii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gestionare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conflictelor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comunicare</w:t>
            </w:r>
            <w:proofErr w:type="spellEnd"/>
          </w:p>
        </w:tc>
      </w:tr>
      <w:tr w:rsidR="002B7152" w:rsidRPr="00EA44AD" w:rsidTr="00DC26D2"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EA44AD" w:rsidRDefault="006466A9" w:rsidP="00AB4C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AB4CA4" w:rsidRDefault="00FB0DBE" w:rsidP="00EA44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Modalități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prevenire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conflictelor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comunicare</w:t>
            </w:r>
            <w:proofErr w:type="spellEnd"/>
          </w:p>
        </w:tc>
      </w:tr>
    </w:tbl>
    <w:p w:rsidR="00F250F7" w:rsidRPr="00B5704C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0F7" w:rsidRPr="00B5704C" w:rsidRDefault="00F250F7" w:rsidP="00EA44AD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Індивідуальні завдання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(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ІНДЗ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)</w:t>
      </w:r>
    </w:p>
    <w:p w:rsidR="00EA44AD" w:rsidRPr="00EA44AD" w:rsidRDefault="00EA44AD" w:rsidP="00EA44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</w:pPr>
      <w:r w:rsidRPr="00EA44A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  <w:t xml:space="preserve">De scris şi de prezentat comunicări pe temele date. </w:t>
      </w:r>
    </w:p>
    <w:p w:rsidR="00A501C7" w:rsidRP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12"/>
          <w:szCs w:val="24"/>
          <w:lang w:val="en-US" w:eastAsia="ru-RU"/>
        </w:rPr>
      </w:pPr>
    </w:p>
    <w:p w:rsidR="009C6C9D" w:rsidRDefault="00AB5763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Climatul comunicării manageriale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Elemente determinante ale specificului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comunicării manageriale</w:t>
      </w:r>
    </w:p>
    <w:p w:rsidR="00AB5763" w:rsidRDefault="00AB5763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Cultura emoțională a cadrelor didactice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Sistemul conexiunilor şi intercondiţionărilor dintre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afectivitate şi comunicare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Competenţa discursivă a cadrului didactic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Tipologizarea discursului didactic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Relația educator – educat în comunicarea educațională.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Comunicarea didatică</w:t>
      </w:r>
    </w:p>
    <w:p w:rsidR="00AB5763" w:rsidRDefault="00AB5763" w:rsidP="00C77D6B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lang w:val="ro-RO"/>
        </w:rPr>
      </w:pPr>
    </w:p>
    <w:p w:rsidR="00AB5763" w:rsidRDefault="00AB5763" w:rsidP="00C77D6B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lang w:val="ro-RO"/>
        </w:rPr>
      </w:pPr>
    </w:p>
    <w:p w:rsidR="00C77D6B" w:rsidRPr="00A1227C" w:rsidRDefault="00B5704C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  <w:lang w:val="ro-RO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6C0913" w:rsidRPr="006C09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0913">
        <w:rPr>
          <w:rFonts w:ascii="Times New Roman" w:hAnsi="Times New Roman" w:cs="Times New Roman"/>
          <w:b/>
          <w:i/>
          <w:sz w:val="28"/>
          <w:szCs w:val="28"/>
        </w:rPr>
        <w:t>Психологія та культура мови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="00680699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ґрунтовні знання не тільки лекційних тем курсів, а й основної та додаткової рекомендованої літератури;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871F62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</w:t>
      </w:r>
      <w:r w:rsid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F16605" w:rsidRPr="00871F62" w:rsidRDefault="00871F62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="00F16605"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засвоїв обов'язковий обсяг програмного матеріалу, основного переліку джерел із лекційного та семінарського курсів;</w:t>
      </w:r>
    </w:p>
    <w:p w:rsidR="00F16605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розуміє </w:t>
      </w:r>
      <w:proofErr w:type="spellStart"/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категорійно</w:t>
      </w:r>
      <w:proofErr w:type="spellEnd"/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-поняттєвий апарат дисциплін;</w:t>
      </w:r>
    </w:p>
    <w:p w:rsidR="00F16605" w:rsidRPr="00F16605" w:rsidRDefault="00F16605" w:rsidP="00F16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proofErr w:type="spellStart"/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переносить</w:t>
      </w:r>
      <w:proofErr w:type="spellEnd"/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раніше засвоєні знання і вміння в нову ситуацію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моделює </w:t>
      </w:r>
      <w:proofErr w:type="spellStart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мовні</w:t>
      </w:r>
      <w:proofErr w:type="spellEnd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позамовні поняття, явища та закономірності, проте власні висновки на ґрунті спостережень викликають труднощі;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F16605" w:rsidRPr="00F16605" w:rsidRDefault="00F16605" w:rsidP="00F16605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методики викладання румунської мови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посередньо засвоїв основні поняття і категорії, визначення дає поверхові, не систематизовані;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не вміє встановити причинно-наслідкові зв'язки між </w:t>
      </w:r>
      <w:proofErr w:type="spellStart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мовними</w:t>
      </w:r>
      <w:proofErr w:type="spellEnd"/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F16605" w:rsidRPr="00F16605" w:rsidRDefault="00F16605" w:rsidP="00F1660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98680F" w:rsidRDefault="0098680F" w:rsidP="001300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F39" w:rsidRPr="00D61E0B" w:rsidRDefault="000213BC" w:rsidP="00D61E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</w:t>
      </w:r>
      <w:r w:rsidR="00D61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 балів, які отримують студенти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851"/>
        <w:gridCol w:w="850"/>
        <w:gridCol w:w="709"/>
        <w:gridCol w:w="850"/>
        <w:gridCol w:w="1134"/>
        <w:gridCol w:w="851"/>
      </w:tblGrid>
      <w:tr w:rsidR="000D2F39" w:rsidRPr="000D2F39" w:rsidTr="00680699">
        <w:tc>
          <w:tcPr>
            <w:tcW w:w="7933" w:type="dxa"/>
            <w:gridSpan w:val="9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134" w:type="dxa"/>
            <w:vMerge w:val="restart"/>
          </w:tcPr>
          <w:p w:rsidR="000D2F3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екзамен</w:t>
            </w:r>
            <w:r w:rsidR="00933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vMerge w:val="restart"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Сума</w:t>
            </w:r>
          </w:p>
        </w:tc>
      </w:tr>
      <w:tr w:rsidR="000D2F39" w:rsidRPr="000D2F39" w:rsidTr="00680699">
        <w:tc>
          <w:tcPr>
            <w:tcW w:w="3681" w:type="dxa"/>
            <w:gridSpan w:val="4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gridSpan w:val="5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134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Т3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Т4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E638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8A9" w:rsidRDefault="00E638A9" w:rsidP="00E638A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8075E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8075E6" w:rsidRPr="008075E6" w:rsidRDefault="008075E6" w:rsidP="008075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  <w:t>Базова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Abric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J. C.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Psihologia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comunicării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2002.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Albulescu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I.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Procedee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di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scursive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2009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Anghel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P.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Stiluri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metode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comunicare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Bucureşti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: Aramis, 2003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Așevschi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V.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Psihologia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comunicării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Litera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2001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Bondrea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A.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Sociologia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opiniei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publice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a mass-media.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Bucureşti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: EDP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>,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1997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Borozan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Zagaievschi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C.,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Stratan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N.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Pedagogia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culturii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emoționale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Litera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>14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r w:rsidRPr="002B0067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Bush T. Leadership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management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educațional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teorii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practice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actuale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Iaș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, 2015</w:t>
      </w:r>
    </w:p>
    <w:p w:rsidR="00970D1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Ciobanu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O.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Comunicare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ti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: A.S.E., 2003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Cojocaru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Discurs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didactico-ştiinţific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emoţional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Suport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curs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pentru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studii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masterat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Chişinău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Tipografia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centală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, 2009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Cojocaru-Borozan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Sadovei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L.,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Ţărnă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E.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Integrare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socioprofesională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prin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discurs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didactico-științific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Tipogr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>UPS „</w:t>
      </w:r>
      <w:proofErr w:type="spellStart"/>
      <w:proofErr w:type="gram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I.Creangă</w:t>
      </w:r>
      <w:proofErr w:type="spellEnd"/>
      <w:proofErr w:type="gramEnd"/>
      <w:r w:rsidRPr="002B0067">
        <w:rPr>
          <w:rFonts w:ascii="Times New Roman" w:hAnsi="Times New Roman" w:cs="Times New Roman"/>
          <w:sz w:val="24"/>
          <w:szCs w:val="28"/>
          <w:lang w:val="en-US"/>
        </w:rPr>
        <w:t>”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. 2014</w:t>
      </w:r>
    </w:p>
    <w:p w:rsidR="00680699" w:rsidRPr="008075E6" w:rsidRDefault="00680699" w:rsidP="008075E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8075E6" w:rsidRPr="008075E6" w:rsidRDefault="008075E6" w:rsidP="008075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o-RO"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Допоміжна</w:t>
      </w:r>
    </w:p>
    <w:p w:rsidR="008075E6" w:rsidRPr="00AB5763" w:rsidRDefault="008075E6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Ciobanu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Probleme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metodologie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lingvistică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//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“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Cursuri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seminare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speciale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”. –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Chişinău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USM, 2002, p. 5-35.</w:t>
      </w:r>
    </w:p>
    <w:p w:rsidR="00D61E0B" w:rsidRPr="00AB5763" w:rsidRDefault="00D61E0B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Bronckart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, J-P, Le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fonctionnement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du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discours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, Neuchatel-Paris,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Delachaux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-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Niestlé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Editeur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1985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Dospinsecu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Semne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cunoaştere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discursul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didactic.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Junimea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1998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M.C.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specialităţii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între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strategii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discursive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performanţe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argumentative.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Suceava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Editura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proofErr w:type="gram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Universităţii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,,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Ştefan</w:t>
      </w:r>
      <w:proofErr w:type="spellEnd"/>
      <w:proofErr w:type="gram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cel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Mare”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2010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Ezechil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educaţională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context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şcolar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Bucureşti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EDP, 2002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Floyd K.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interpersonală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. (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traducere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Andriescu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M.).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Iași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2013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Frunză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Teoria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comunicării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Constanţa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Ovidius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University Press, 2003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Iacob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Cosmovici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A.,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Iacob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Psihologie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şcolară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. Iaşi: Polirom, 1999. p. 181-198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Joiţa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E.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Pedagogie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–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ştiinţa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interactivă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educaţiei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2011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Merimo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C.P.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Niveluri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ale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înțelegerii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București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Editura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și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Pedagogică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2010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Mocanu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Întrebarea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– element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bază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al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comunicării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Studia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Universitatis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, USM, 2010,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nr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. 5 (35). p. 112-119</w:t>
      </w:r>
    </w:p>
    <w:p w:rsidR="00E638A9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Neacşu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I.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Metode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tehnici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învăţare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eficientă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</w:t>
      </w: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2015</w:t>
      </w:r>
    </w:p>
    <w:p w:rsidR="00C77D6B" w:rsidRPr="008955CC" w:rsidRDefault="008075E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</w:pPr>
      <w:r>
        <w:rPr>
          <w:b/>
          <w:bCs/>
          <w:color w:val="000000"/>
          <w:kern w:val="24"/>
        </w:rPr>
        <w:t>8</w:t>
      </w:r>
      <w:r w:rsidR="00C77D6B" w:rsidRPr="008955CC">
        <w:rPr>
          <w:b/>
          <w:bCs/>
          <w:color w:val="000000"/>
          <w:kern w:val="24"/>
        </w:rPr>
        <w:t>. Інформаційні ресурси</w:t>
      </w: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8955CC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4"/>
          <w:szCs w:val="24"/>
          <w:lang w:eastAsia="ru-RU"/>
        </w:rPr>
      </w:pPr>
    </w:p>
    <w:p w:rsidR="0013006B" w:rsidRPr="008955CC" w:rsidRDefault="000055F5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3" w:history="1">
        <w:r w:rsidR="00601401" w:rsidRPr="008955CC">
          <w:rPr>
            <w:rStyle w:val="a4"/>
            <w:rFonts w:ascii="Times New Roman" w:hAnsi="Times New Roman" w:cs="Times New Roman"/>
            <w:sz w:val="24"/>
            <w:szCs w:val="24"/>
          </w:rPr>
          <w:t>https://moodle.chnu.edu.ua/course/view.php?id=1832</w:t>
        </w:r>
      </w:hyperlink>
      <w:r w:rsidR="00601401" w:rsidRPr="00895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06B" w:rsidRPr="008955CC" w:rsidRDefault="000055F5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4" w:history="1">
        <w:r w:rsidR="0013006B" w:rsidRPr="008955CC">
          <w:rPr>
            <w:rFonts w:ascii="Times New Roman" w:eastAsia="Times New Roman" w:hAnsi="Times New Roman" w:cs="Times New Roman"/>
            <w:color w:val="0000FF"/>
            <w:spacing w:val="-13"/>
            <w:sz w:val="24"/>
            <w:szCs w:val="24"/>
            <w:u w:val="single"/>
            <w:lang w:eastAsia="ru-RU"/>
          </w:rPr>
          <w:t>http://ebooks.unibuc.ro/Filologie.htm</w:t>
        </w:r>
      </w:hyperlink>
    </w:p>
    <w:p w:rsidR="002B4C71" w:rsidRPr="008955CC" w:rsidRDefault="00AC5469">
      <w:pPr>
        <w:rPr>
          <w:sz w:val="24"/>
          <w:szCs w:val="24"/>
          <w:lang w:val="ro-RO"/>
        </w:rPr>
      </w:pPr>
      <w:r w:rsidRPr="008955CC">
        <w:rPr>
          <w:sz w:val="24"/>
          <w:szCs w:val="24"/>
          <w:lang w:val="ro-RO"/>
        </w:rPr>
        <w:t xml:space="preserve"> </w:t>
      </w:r>
      <w:bookmarkStart w:id="0" w:name="_GoBack"/>
      <w:bookmarkEnd w:id="0"/>
    </w:p>
    <w:sectPr w:rsidR="002B4C71" w:rsidRPr="008955CC" w:rsidSect="009D5D34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F5" w:rsidRDefault="000055F5">
      <w:pPr>
        <w:spacing w:after="0" w:line="240" w:lineRule="auto"/>
      </w:pPr>
      <w:r>
        <w:separator/>
      </w:r>
    </w:p>
  </w:endnote>
  <w:endnote w:type="continuationSeparator" w:id="0">
    <w:p w:rsidR="000055F5" w:rsidRDefault="0000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44E0" w:rsidRDefault="006E44E0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</w:p>
  <w:p w:rsidR="006E44E0" w:rsidRDefault="006E44E0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F5" w:rsidRDefault="000055F5">
      <w:pPr>
        <w:spacing w:after="0" w:line="240" w:lineRule="auto"/>
      </w:pPr>
      <w:r>
        <w:separator/>
      </w:r>
    </w:p>
  </w:footnote>
  <w:footnote w:type="continuationSeparator" w:id="0">
    <w:p w:rsidR="000055F5" w:rsidRDefault="00005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8D5"/>
    <w:multiLevelType w:val="hybridMultilevel"/>
    <w:tmpl w:val="1A5E0F1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1ECB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A046C"/>
    <w:multiLevelType w:val="hybridMultilevel"/>
    <w:tmpl w:val="8712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3311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1E46"/>
    <w:multiLevelType w:val="hybridMultilevel"/>
    <w:tmpl w:val="1E3C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A49FF"/>
    <w:multiLevelType w:val="hybridMultilevel"/>
    <w:tmpl w:val="11147020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30974F15"/>
    <w:multiLevelType w:val="hybridMultilevel"/>
    <w:tmpl w:val="3D6CBB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DD489D"/>
    <w:multiLevelType w:val="hybridMultilevel"/>
    <w:tmpl w:val="DD5CA1D6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4A2C3E"/>
    <w:multiLevelType w:val="hybridMultilevel"/>
    <w:tmpl w:val="FB96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3204A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A151F1"/>
    <w:multiLevelType w:val="hybridMultilevel"/>
    <w:tmpl w:val="A4B08E04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59776D51"/>
    <w:multiLevelType w:val="hybridMultilevel"/>
    <w:tmpl w:val="19E2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10E8F"/>
    <w:multiLevelType w:val="hybridMultilevel"/>
    <w:tmpl w:val="8218573C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E61B6C"/>
    <w:multiLevelType w:val="hybridMultilevel"/>
    <w:tmpl w:val="706EA9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E4D45"/>
    <w:multiLevelType w:val="hybridMultilevel"/>
    <w:tmpl w:val="492A26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76AAC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25"/>
  </w:num>
  <w:num w:numId="4">
    <w:abstractNumId w:val="7"/>
  </w:num>
  <w:num w:numId="5">
    <w:abstractNumId w:val="4"/>
  </w:num>
  <w:num w:numId="6">
    <w:abstractNumId w:val="10"/>
  </w:num>
  <w:num w:numId="7">
    <w:abstractNumId w:val="21"/>
  </w:num>
  <w:num w:numId="8">
    <w:abstractNumId w:val="31"/>
  </w:num>
  <w:num w:numId="9">
    <w:abstractNumId w:val="33"/>
  </w:num>
  <w:num w:numId="10">
    <w:abstractNumId w:val="32"/>
  </w:num>
  <w:num w:numId="11">
    <w:abstractNumId w:val="29"/>
  </w:num>
  <w:num w:numId="12">
    <w:abstractNumId w:val="19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27"/>
  </w:num>
  <w:num w:numId="18">
    <w:abstractNumId w:val="15"/>
  </w:num>
  <w:num w:numId="19">
    <w:abstractNumId w:val="28"/>
  </w:num>
  <w:num w:numId="20">
    <w:abstractNumId w:val="14"/>
  </w:num>
  <w:num w:numId="21">
    <w:abstractNumId w:val="12"/>
  </w:num>
  <w:num w:numId="22">
    <w:abstractNumId w:val="20"/>
  </w:num>
  <w:num w:numId="23">
    <w:abstractNumId w:val="3"/>
  </w:num>
  <w:num w:numId="24">
    <w:abstractNumId w:val="22"/>
  </w:num>
  <w:num w:numId="25">
    <w:abstractNumId w:val="24"/>
  </w:num>
  <w:num w:numId="26">
    <w:abstractNumId w:val="30"/>
  </w:num>
  <w:num w:numId="27">
    <w:abstractNumId w:val="1"/>
  </w:num>
  <w:num w:numId="28">
    <w:abstractNumId w:val="26"/>
  </w:num>
  <w:num w:numId="29">
    <w:abstractNumId w:val="0"/>
  </w:num>
  <w:num w:numId="30">
    <w:abstractNumId w:val="8"/>
  </w:num>
  <w:num w:numId="31">
    <w:abstractNumId w:val="23"/>
  </w:num>
  <w:num w:numId="32">
    <w:abstractNumId w:val="11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55F5"/>
    <w:rsid w:val="000213BC"/>
    <w:rsid w:val="000252B7"/>
    <w:rsid w:val="0007183B"/>
    <w:rsid w:val="000A4EE8"/>
    <w:rsid w:val="000B44BE"/>
    <w:rsid w:val="000D2F39"/>
    <w:rsid w:val="00103DE7"/>
    <w:rsid w:val="0011659C"/>
    <w:rsid w:val="00117F14"/>
    <w:rsid w:val="0013006B"/>
    <w:rsid w:val="00135BCF"/>
    <w:rsid w:val="001402A0"/>
    <w:rsid w:val="0017030C"/>
    <w:rsid w:val="001C15BD"/>
    <w:rsid w:val="001C3D24"/>
    <w:rsid w:val="001C6E0E"/>
    <w:rsid w:val="001D6687"/>
    <w:rsid w:val="001F34E0"/>
    <w:rsid w:val="002023E4"/>
    <w:rsid w:val="0028569F"/>
    <w:rsid w:val="002934F3"/>
    <w:rsid w:val="002B0067"/>
    <w:rsid w:val="002B4C71"/>
    <w:rsid w:val="002B7152"/>
    <w:rsid w:val="002C4A69"/>
    <w:rsid w:val="003132E4"/>
    <w:rsid w:val="00324198"/>
    <w:rsid w:val="0033346E"/>
    <w:rsid w:val="00335F76"/>
    <w:rsid w:val="00350EB0"/>
    <w:rsid w:val="00391BF9"/>
    <w:rsid w:val="003F2911"/>
    <w:rsid w:val="00400FC4"/>
    <w:rsid w:val="00425289"/>
    <w:rsid w:val="00445FD2"/>
    <w:rsid w:val="004471B6"/>
    <w:rsid w:val="00474C09"/>
    <w:rsid w:val="00496782"/>
    <w:rsid w:val="004A67F6"/>
    <w:rsid w:val="004D7F23"/>
    <w:rsid w:val="004E0941"/>
    <w:rsid w:val="00507724"/>
    <w:rsid w:val="00544605"/>
    <w:rsid w:val="00554EB2"/>
    <w:rsid w:val="00560032"/>
    <w:rsid w:val="00570EA2"/>
    <w:rsid w:val="00581962"/>
    <w:rsid w:val="005A6044"/>
    <w:rsid w:val="005F3234"/>
    <w:rsid w:val="00601401"/>
    <w:rsid w:val="00642C6F"/>
    <w:rsid w:val="006466A9"/>
    <w:rsid w:val="00657D42"/>
    <w:rsid w:val="00680699"/>
    <w:rsid w:val="00683F6C"/>
    <w:rsid w:val="006C0913"/>
    <w:rsid w:val="006C335F"/>
    <w:rsid w:val="006E1922"/>
    <w:rsid w:val="006E44E0"/>
    <w:rsid w:val="00703225"/>
    <w:rsid w:val="00717BEB"/>
    <w:rsid w:val="00766776"/>
    <w:rsid w:val="00785E23"/>
    <w:rsid w:val="007C3C09"/>
    <w:rsid w:val="007F6109"/>
    <w:rsid w:val="00805CD6"/>
    <w:rsid w:val="008075E6"/>
    <w:rsid w:val="00812748"/>
    <w:rsid w:val="00824B0E"/>
    <w:rsid w:val="00825498"/>
    <w:rsid w:val="00855DD7"/>
    <w:rsid w:val="00871F62"/>
    <w:rsid w:val="008764CA"/>
    <w:rsid w:val="00892E07"/>
    <w:rsid w:val="008955CC"/>
    <w:rsid w:val="008A692E"/>
    <w:rsid w:val="008C49B5"/>
    <w:rsid w:val="008D2AA6"/>
    <w:rsid w:val="00933E6A"/>
    <w:rsid w:val="00970D1C"/>
    <w:rsid w:val="0098680F"/>
    <w:rsid w:val="00987D9C"/>
    <w:rsid w:val="009C6C9D"/>
    <w:rsid w:val="009D5051"/>
    <w:rsid w:val="009D5D34"/>
    <w:rsid w:val="009E390A"/>
    <w:rsid w:val="00A501C7"/>
    <w:rsid w:val="00A80A00"/>
    <w:rsid w:val="00A91421"/>
    <w:rsid w:val="00AB109C"/>
    <w:rsid w:val="00AB4CA4"/>
    <w:rsid w:val="00AB5763"/>
    <w:rsid w:val="00AC5469"/>
    <w:rsid w:val="00AF4BC2"/>
    <w:rsid w:val="00B2105A"/>
    <w:rsid w:val="00B40009"/>
    <w:rsid w:val="00B55975"/>
    <w:rsid w:val="00B5704C"/>
    <w:rsid w:val="00B614B5"/>
    <w:rsid w:val="00BB106A"/>
    <w:rsid w:val="00BC2B0C"/>
    <w:rsid w:val="00BC33AA"/>
    <w:rsid w:val="00BC5D9D"/>
    <w:rsid w:val="00BD3DCC"/>
    <w:rsid w:val="00BD6437"/>
    <w:rsid w:val="00BE64C8"/>
    <w:rsid w:val="00C11A36"/>
    <w:rsid w:val="00C13D24"/>
    <w:rsid w:val="00C1598C"/>
    <w:rsid w:val="00C21D1D"/>
    <w:rsid w:val="00C26DE7"/>
    <w:rsid w:val="00C77D6B"/>
    <w:rsid w:val="00CB1F71"/>
    <w:rsid w:val="00CB318C"/>
    <w:rsid w:val="00D24566"/>
    <w:rsid w:val="00D42E1A"/>
    <w:rsid w:val="00D61D09"/>
    <w:rsid w:val="00D61E0B"/>
    <w:rsid w:val="00DB22C5"/>
    <w:rsid w:val="00DC0E42"/>
    <w:rsid w:val="00DC26D2"/>
    <w:rsid w:val="00DD70B6"/>
    <w:rsid w:val="00DD7584"/>
    <w:rsid w:val="00E053FC"/>
    <w:rsid w:val="00E10F87"/>
    <w:rsid w:val="00E15B04"/>
    <w:rsid w:val="00E238CC"/>
    <w:rsid w:val="00E34F12"/>
    <w:rsid w:val="00E3731C"/>
    <w:rsid w:val="00E638A9"/>
    <w:rsid w:val="00E67F54"/>
    <w:rsid w:val="00E968CF"/>
    <w:rsid w:val="00EA44AD"/>
    <w:rsid w:val="00EB7475"/>
    <w:rsid w:val="00EF79E4"/>
    <w:rsid w:val="00F16605"/>
    <w:rsid w:val="00F250F7"/>
    <w:rsid w:val="00FA104B"/>
    <w:rsid w:val="00FB0DBE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A21A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 Indent"/>
    <w:basedOn w:val="a"/>
    <w:link w:val="aa"/>
    <w:uiPriority w:val="99"/>
    <w:unhideWhenUsed/>
    <w:rsid w:val="0049678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678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95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55C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ilology.chnu.edu.ua/?page_id=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://ebooks.unibuc.ro/Filologi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21</cp:revision>
  <cp:lastPrinted>2020-09-29T04:32:00Z</cp:lastPrinted>
  <dcterms:created xsi:type="dcterms:W3CDTF">2021-09-19T08:10:00Z</dcterms:created>
  <dcterms:modified xsi:type="dcterms:W3CDTF">2021-09-19T13:41:00Z</dcterms:modified>
</cp:coreProperties>
</file>