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34B3" w14:textId="77777777" w:rsidR="00BA3E7B" w:rsidRDefault="00000000">
      <w:pPr>
        <w:pStyle w:val="Heading1"/>
        <w:spacing w:before="300" w:after="150"/>
      </w:pPr>
      <w:r>
        <w:t>Journal Club – Chairperson Agenda &amp; Notes</w:t>
      </w:r>
    </w:p>
    <w:p w14:paraId="6EC671D8" w14:textId="77777777" w:rsidR="00BA3E7B" w:rsidRDefault="00000000">
      <w:pPr>
        <w:spacing w:after="120"/>
      </w:pPr>
      <w:r>
        <w:rPr>
          <w:b/>
          <w:bCs/>
        </w:rPr>
        <w:t xml:space="preserve">Mentor Group: </w:t>
      </w:r>
      <w:r>
        <w:t>Peiman Mentor Group</w:t>
      </w:r>
    </w:p>
    <w:p w14:paraId="4E0A5BDC" w14:textId="77777777" w:rsidR="00BA3E7B" w:rsidRDefault="00000000">
      <w:pPr>
        <w:spacing w:after="120"/>
      </w:pPr>
      <w:r>
        <w:rPr>
          <w:b/>
          <w:bCs/>
        </w:rPr>
        <w:t xml:space="preserve">Date: </w:t>
      </w:r>
      <w:r>
        <w:t>March 2026</w:t>
      </w:r>
    </w:p>
    <w:p w14:paraId="7E72F271" w14:textId="77777777" w:rsidR="00BA3E7B" w:rsidRDefault="00000000">
      <w:pPr>
        <w:spacing w:after="120"/>
      </w:pPr>
      <w:r>
        <w:rPr>
          <w:b/>
          <w:bCs/>
        </w:rPr>
        <w:t xml:space="preserve">Chairperson: </w:t>
      </w:r>
      <w:r>
        <w:t>Filipp</w:t>
      </w:r>
    </w:p>
    <w:p w14:paraId="1ACBCBFE" w14:textId="77777777" w:rsidR="00BA3E7B" w:rsidRDefault="00000000">
      <w:pPr>
        <w:pStyle w:val="Heading2"/>
        <w:spacing w:before="300" w:after="150"/>
      </w:pPr>
      <w:r>
        <w:t>1. Session Overview</w:t>
      </w:r>
    </w:p>
    <w:p w14:paraId="175D9B54" w14:textId="77777777" w:rsidR="00BA3E7B" w:rsidRDefault="00000000">
      <w:pPr>
        <w:spacing w:after="120"/>
      </w:pPr>
      <w:r>
        <w:rPr>
          <w:b/>
          <w:bCs/>
        </w:rPr>
        <w:t xml:space="preserve">Themes: </w:t>
      </w:r>
      <w:r>
        <w:t>Computer Vision – Anomaly Detection / AI Ethics – Deepfake Governance / NLP/RL – Quantitative Trading</w:t>
      </w:r>
    </w:p>
    <w:p w14:paraId="7D1CA700" w14:textId="77777777" w:rsidR="00BA3E7B" w:rsidRDefault="00BA3E7B">
      <w:pPr>
        <w:spacing w:after="120"/>
      </w:pPr>
    </w:p>
    <w:p w14:paraId="4F3FA1C3" w14:textId="77777777" w:rsidR="00BA3E7B" w:rsidRDefault="00000000">
      <w:pPr>
        <w:pStyle w:val="Heading2"/>
        <w:spacing w:before="300" w:after="150"/>
      </w:pPr>
      <w:r>
        <w:t>2. Role 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3E7B" w14:paraId="11D34F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5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8BEE" w14:textId="77777777" w:rsidR="00BA3E7B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Cohort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5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1E5A" w14:textId="77777777" w:rsidR="00BA3E7B" w:rsidRDefault="00000000">
            <w:r>
              <w:rPr>
                <w:b/>
                <w:bCs/>
                <w:color w:val="FFFFFF"/>
                <w:sz w:val="20"/>
                <w:szCs w:val="20"/>
              </w:rPr>
              <w:t>Speaker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5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23F4" w14:textId="77777777" w:rsidR="00BA3E7B" w:rsidRDefault="00000000">
            <w:r>
              <w:rPr>
                <w:b/>
                <w:bCs/>
                <w:color w:val="FFFFFF"/>
                <w:sz w:val="20"/>
                <w:szCs w:val="20"/>
              </w:rPr>
              <w:t>Evaluator</w:t>
            </w:r>
          </w:p>
        </w:tc>
      </w:tr>
      <w:tr w:rsidR="00BA3E7B" w14:paraId="229242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8D73" w14:textId="77777777" w:rsidR="00BA3E7B" w:rsidRDefault="00000000">
            <w:r>
              <w:rPr>
                <w:sz w:val="20"/>
                <w:szCs w:val="20"/>
              </w:rPr>
              <w:t>Cohort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6F83" w14:textId="081C7333" w:rsidR="00BA3E7B" w:rsidRDefault="00000000">
            <w:r>
              <w:rPr>
                <w:sz w:val="20"/>
                <w:szCs w:val="20"/>
              </w:rPr>
              <w:t>Leon Kusic</w:t>
            </w:r>
            <w:r w:rsidR="00C861E3">
              <w:rPr>
                <w:sz w:val="20"/>
                <w:szCs w:val="20"/>
              </w:rPr>
              <w:t>(242467)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BC72" w14:textId="18910457" w:rsidR="00BA3E7B" w:rsidRDefault="00000000">
            <w:r>
              <w:rPr>
                <w:sz w:val="20"/>
                <w:szCs w:val="20"/>
              </w:rPr>
              <w:t>Huang, Li Ming</w:t>
            </w:r>
            <w:r w:rsidR="00C861E3">
              <w:rPr>
                <w:sz w:val="20"/>
                <w:szCs w:val="20"/>
              </w:rPr>
              <w:t>(241113)</w:t>
            </w:r>
          </w:p>
        </w:tc>
      </w:tr>
      <w:tr w:rsidR="00BA3E7B" w14:paraId="60611F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917B" w14:textId="77777777" w:rsidR="00BA3E7B" w:rsidRDefault="00000000">
            <w:r>
              <w:rPr>
                <w:sz w:val="20"/>
                <w:szCs w:val="20"/>
              </w:rPr>
              <w:t>Cohort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0316" w14:textId="4DA7A646" w:rsidR="00BA3E7B" w:rsidRDefault="00000000">
            <w:r>
              <w:rPr>
                <w:sz w:val="20"/>
                <w:szCs w:val="20"/>
              </w:rPr>
              <w:t xml:space="preserve">Max </w:t>
            </w:r>
            <w:r w:rsidR="00C861E3">
              <w:rPr>
                <w:sz w:val="20"/>
                <w:szCs w:val="20"/>
              </w:rPr>
              <w:t>Steshkin</w:t>
            </w:r>
            <w:r>
              <w:rPr>
                <w:sz w:val="20"/>
                <w:szCs w:val="20"/>
              </w:rPr>
              <w:t>(242689)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2FF1" w14:textId="354F0F9F" w:rsidR="00BA3E7B" w:rsidRDefault="00000000">
            <w:r>
              <w:rPr>
                <w:sz w:val="20"/>
                <w:szCs w:val="20"/>
              </w:rPr>
              <w:t xml:space="preserve">Danil </w:t>
            </w:r>
            <w:r w:rsidR="00C861E3">
              <w:rPr>
                <w:sz w:val="20"/>
                <w:szCs w:val="20"/>
              </w:rPr>
              <w:t>Sysenko</w:t>
            </w:r>
            <w:r>
              <w:rPr>
                <w:sz w:val="20"/>
                <w:szCs w:val="20"/>
              </w:rPr>
              <w:t>(244760)</w:t>
            </w:r>
          </w:p>
        </w:tc>
      </w:tr>
      <w:tr w:rsidR="00BA3E7B" w14:paraId="7286BE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6BEC" w14:textId="77777777" w:rsidR="00BA3E7B" w:rsidRDefault="00000000">
            <w:r>
              <w:rPr>
                <w:sz w:val="20"/>
                <w:szCs w:val="20"/>
              </w:rPr>
              <w:t>Cohort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F0E3" w14:textId="77777777" w:rsidR="00BA3E7B" w:rsidRDefault="00000000">
            <w:r>
              <w:rPr>
                <w:sz w:val="20"/>
                <w:szCs w:val="20"/>
              </w:rPr>
              <w:t>Matteo Ardito (246633)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F820" w14:textId="77777777" w:rsidR="00BA3E7B" w:rsidRDefault="00000000">
            <w:r>
              <w:rPr>
                <w:sz w:val="20"/>
                <w:szCs w:val="20"/>
              </w:rPr>
              <w:t>Filip Sarik (243537)</w:t>
            </w:r>
          </w:p>
        </w:tc>
      </w:tr>
    </w:tbl>
    <w:p w14:paraId="363EEE7B" w14:textId="77777777" w:rsidR="00BA3E7B" w:rsidRDefault="00000000">
      <w:pPr>
        <w:pStyle w:val="Heading2"/>
        <w:spacing w:before="300" w:after="150"/>
      </w:pPr>
      <w:r>
        <w:t>3. Session Flow &amp; Notes</w:t>
      </w:r>
    </w:p>
    <w:p w14:paraId="274FB72E" w14:textId="77777777" w:rsidR="00BA3E7B" w:rsidRDefault="00000000">
      <w:pPr>
        <w:pStyle w:val="Heading3"/>
        <w:spacing w:before="300" w:after="150"/>
      </w:pPr>
      <w:r>
        <w:t>Presentation 1 – Cohort 1</w:t>
      </w:r>
    </w:p>
    <w:p w14:paraId="38333907" w14:textId="77777777" w:rsidR="00BA3E7B" w:rsidRDefault="00000000">
      <w:pPr>
        <w:spacing w:after="120"/>
      </w:pPr>
      <w:r>
        <w:rPr>
          <w:b/>
          <w:bCs/>
        </w:rPr>
        <w:t xml:space="preserve">Speaker: </w:t>
      </w:r>
      <w:r>
        <w:t>Leon Kusic</w:t>
      </w:r>
    </w:p>
    <w:p w14:paraId="201F88CD" w14:textId="77777777" w:rsidR="00BA3E7B" w:rsidRDefault="00000000">
      <w:pPr>
        <w:spacing w:after="120"/>
      </w:pPr>
      <w:r>
        <w:rPr>
          <w:b/>
          <w:bCs/>
        </w:rPr>
        <w:t xml:space="preserve">Paper: </w:t>
      </w:r>
      <w:proofErr w:type="spellStart"/>
      <w:r>
        <w:t>EfficientAD</w:t>
      </w:r>
      <w:proofErr w:type="spellEnd"/>
      <w:r>
        <w:t>: Accurate Visual Anomaly Detection at Millisecond-Level Latencies (WACV 2024)</w:t>
      </w:r>
    </w:p>
    <w:p w14:paraId="74CFF058" w14:textId="77777777" w:rsidR="00BA3E7B" w:rsidRDefault="00000000">
      <w:pPr>
        <w:spacing w:after="120"/>
      </w:pPr>
      <w:r>
        <w:rPr>
          <w:b/>
          <w:bCs/>
        </w:rPr>
        <w:t xml:space="preserve">Evaluator: </w:t>
      </w:r>
      <w:r>
        <w:t>Huang, Li Ming</w:t>
      </w:r>
    </w:p>
    <w:p w14:paraId="684451EF" w14:textId="77777777" w:rsidR="00BA3E7B" w:rsidRDefault="00BA3E7B">
      <w:pPr>
        <w:spacing w:after="120"/>
      </w:pPr>
    </w:p>
    <w:p w14:paraId="2008224E" w14:textId="77777777" w:rsidR="00BA3E7B" w:rsidRDefault="00000000">
      <w:pPr>
        <w:spacing w:after="120"/>
      </w:pPr>
      <w:r>
        <w:rPr>
          <w:b/>
          <w:bCs/>
        </w:rPr>
        <w:t>Speaker Notes:</w:t>
      </w:r>
    </w:p>
    <w:p w14:paraId="7318D410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Main focus of the presentation was on latency as the core design constraint, framing the paper around sub-100ms inference budgets on production lines running at 600 items per minute.</w:t>
      </w:r>
    </w:p>
    <w:p w14:paraId="1A8C5FD4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Explained the full pipeline architecture: training process, patch slicing, and the three-component system (Patch Description Network, Student–Teacher pair, Autoencoder for logical anomalies).</w:t>
      </w:r>
    </w:p>
    <w:p w14:paraId="1644FECB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Benchmarks were clearly presented with hardware enumerated (RTX A6000, A5000, V100, 3080, 2080 Ti). Referenced the ablation study showing each component’s contribution without adding latency.</w:t>
      </w:r>
    </w:p>
    <w:p w14:paraId="6FEF5CC1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Referenced a previous research paper discussed in an earlier session, drawing connections between the two works.</w:t>
      </w:r>
    </w:p>
    <w:p w14:paraId="4CC63BFE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Multiple limitations discussed based on the presentation and Chair-provided feedback: </w:t>
      </w:r>
      <w:proofErr w:type="spellStart"/>
      <w:r>
        <w:t>MVTec</w:t>
      </w:r>
      <w:proofErr w:type="spellEnd"/>
      <w:r>
        <w:t xml:space="preserve">-only benchmarks, training time vs </w:t>
      </w:r>
      <w:proofErr w:type="spellStart"/>
      <w:r>
        <w:t>kNN</w:t>
      </w:r>
      <w:proofErr w:type="spellEnd"/>
      <w:r>
        <w:t xml:space="preserve"> alternatives, edge deployment </w:t>
      </w:r>
      <w:r>
        <w:lastRenderedPageBreak/>
        <w:t>uncertainty, and evaluation fairness considerations where competitor settings were modified.</w:t>
      </w:r>
    </w:p>
    <w:p w14:paraId="6BF85E0E" w14:textId="6E764206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Relevance to current research was discussed in detail, covering four specific connections: speed reference point for the Pareto frontier, PDN as an alternative backbone, validation of the need for latency benchmarking, and the design-for-speed vs </w:t>
      </w:r>
      <w:r w:rsidR="00C861E3">
        <w:t>optimize</w:t>
      </w:r>
      <w:r>
        <w:t>-for-speed distinction.</w:t>
      </w:r>
    </w:p>
    <w:p w14:paraId="323D36AC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Delivery: level of engagement was relatively good. Could be a bit more gradual in pacing. Slightly nervous, and more enthusiasm could be added to strengthen the delivery.</w:t>
      </w:r>
    </w:p>
    <w:p w14:paraId="71673A6D" w14:textId="77777777" w:rsidR="00BA3E7B" w:rsidRDefault="00BA3E7B">
      <w:pPr>
        <w:spacing w:after="120"/>
      </w:pPr>
    </w:p>
    <w:p w14:paraId="20394E8D" w14:textId="77777777" w:rsidR="00BA3E7B" w:rsidRDefault="00000000">
      <w:pPr>
        <w:spacing w:after="120"/>
      </w:pPr>
      <w:r>
        <w:rPr>
          <w:b/>
          <w:bCs/>
        </w:rPr>
        <w:t>Evaluator Notes (Li Ming):</w:t>
      </w:r>
    </w:p>
    <w:p w14:paraId="518740E0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Observation: the evaluation leaned more towards describing the paper content rather than providing critical analysis. More depth on analytical assessment of the methodology and results would strengthen the evaluator role.</w:t>
      </w:r>
    </w:p>
    <w:p w14:paraId="4CD0C06B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Positive feedback: good motivation framing, strong use of numbers throughout, and clear language in the presentation.</w:t>
      </w:r>
    </w:p>
    <w:p w14:paraId="7F72AA0D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Criticism: raised the question of how the method would perform in real-world deployment outside of benchmark conditions.</w:t>
      </w:r>
    </w:p>
    <w:p w14:paraId="6CF2A51D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Criticism: no explanation of how the model handles bad or noisy data. This was addressed in a previous presentation but would have been beneficial to include here as well. Leon explained when asked, but as an improvement it should be mentioned proactively in the slides.</w:t>
      </w:r>
    </w:p>
    <w:p w14:paraId="33B5350F" w14:textId="77777777" w:rsidR="00BA3E7B" w:rsidRDefault="00000000">
      <w:pPr>
        <w:pStyle w:val="Heading3"/>
        <w:spacing w:before="300" w:after="150"/>
      </w:pPr>
      <w:r>
        <w:t>Presentation 2 – Cohort 2</w:t>
      </w:r>
    </w:p>
    <w:p w14:paraId="49C14D1A" w14:textId="77777777" w:rsidR="00BA3E7B" w:rsidRDefault="00000000">
      <w:pPr>
        <w:spacing w:after="120"/>
      </w:pPr>
      <w:r>
        <w:rPr>
          <w:b/>
          <w:bCs/>
        </w:rPr>
        <w:t xml:space="preserve">Speaker: </w:t>
      </w:r>
      <w:r>
        <w:t>Max (242689)</w:t>
      </w:r>
    </w:p>
    <w:p w14:paraId="17B7B152" w14:textId="77777777" w:rsidR="00BA3E7B" w:rsidRDefault="00000000">
      <w:pPr>
        <w:spacing w:after="120"/>
      </w:pPr>
      <w:r>
        <w:rPr>
          <w:b/>
          <w:bCs/>
        </w:rPr>
        <w:t xml:space="preserve">Paper: </w:t>
      </w:r>
      <w:r>
        <w:t>Deepfakes on Demand: The Rise of Accessible Non-Consensual Deepfake Image Generators (</w:t>
      </w:r>
      <w:proofErr w:type="spellStart"/>
      <w:r>
        <w:t>FAccT</w:t>
      </w:r>
      <w:proofErr w:type="spellEnd"/>
      <w:r>
        <w:t xml:space="preserve"> 2025)</w:t>
      </w:r>
    </w:p>
    <w:p w14:paraId="7D1A4637" w14:textId="77777777" w:rsidR="00BA3E7B" w:rsidRDefault="00000000">
      <w:pPr>
        <w:spacing w:after="120"/>
      </w:pPr>
      <w:r>
        <w:rPr>
          <w:b/>
          <w:bCs/>
        </w:rPr>
        <w:t xml:space="preserve">Evaluator: </w:t>
      </w:r>
      <w:r>
        <w:t>Danil (244760)</w:t>
      </w:r>
    </w:p>
    <w:p w14:paraId="7404AB5B" w14:textId="77777777" w:rsidR="00BA3E7B" w:rsidRDefault="00BA3E7B">
      <w:pPr>
        <w:spacing w:after="120"/>
      </w:pPr>
    </w:p>
    <w:p w14:paraId="722EBA2A" w14:textId="77777777" w:rsidR="00BA3E7B" w:rsidRDefault="00000000">
      <w:pPr>
        <w:spacing w:after="120"/>
      </w:pPr>
      <w:r>
        <w:rPr>
          <w:b/>
          <w:bCs/>
        </w:rPr>
        <w:t>Speaker Notes:</w:t>
      </w:r>
    </w:p>
    <w:p w14:paraId="05A8E40F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Introduced the paper clearly: authors (Hawkins, Russell, Mittelstadt from Oxford Internet Institute), venue, and research context.</w:t>
      </w:r>
    </w:p>
    <w:p w14:paraId="3B41BE3C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Explained why the topic matters, providing key statistics: 87% rise in sexually explicit deepfakes from 2022 to 2023, approximately 99% targeting women and girls, and the low barrier to entry (20 images, 24 GB VRAM, 15 minutes).</w:t>
      </w:r>
    </w:p>
    <w:p w14:paraId="642BD2C5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Hardware specifications and fine-tuning requirements were mentioned, grounding the accessibility concern in concrete technical terms.</w:t>
      </w:r>
    </w:p>
    <w:p w14:paraId="0041BAA5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Broke down the three-part methodology clearly: Part A (platform analysis of </w:t>
      </w:r>
      <w:proofErr w:type="spellStart"/>
      <w:r>
        <w:t>Civitai</w:t>
      </w:r>
      <w:proofErr w:type="spellEnd"/>
      <w:r>
        <w:t xml:space="preserve"> via API), Part B (model analysis of 15,349 variants with manual labelling), and Part C (policy and accessibility review).</w:t>
      </w:r>
    </w:p>
    <w:p w14:paraId="74A1EEB5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Presented key quantitative findings: 80% of deepfake models use </w:t>
      </w:r>
      <w:proofErr w:type="spellStart"/>
      <w:r>
        <w:t>LoRA</w:t>
      </w:r>
      <w:proofErr w:type="spellEnd"/>
      <w:r>
        <w:t xml:space="preserve"> fine-tuning, significant gender skew (6,883 female-tagged vs 99 male-tagged models), and 97 of top 100 most-downloaded deepfake models target women.</w:t>
      </w:r>
    </w:p>
    <w:p w14:paraId="034F7A63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Explained the Flux architectural shift in detail: Diffusion Transformer architecture accelerating </w:t>
      </w:r>
      <w:proofErr w:type="spellStart"/>
      <w:r>
        <w:t>LoRA</w:t>
      </w:r>
      <w:proofErr w:type="spellEnd"/>
      <w:r>
        <w:t xml:space="preserve"> fine-tuning, 29% deepfake rate among Flux variants vs 7.3% for Stable Diffusion, and rapid adoption trajectory (44.3% of Flux </w:t>
      </w:r>
      <w:proofErr w:type="spellStart"/>
      <w:r>
        <w:t>LoRAs</w:t>
      </w:r>
      <w:proofErr w:type="spellEnd"/>
      <w:r>
        <w:t xml:space="preserve"> on </w:t>
      </w:r>
      <w:proofErr w:type="spellStart"/>
      <w:r>
        <w:t>Civitai</w:t>
      </w:r>
      <w:proofErr w:type="spellEnd"/>
      <w:r>
        <w:t xml:space="preserve"> were deepfakes by December 2024).</w:t>
      </w:r>
    </w:p>
    <w:p w14:paraId="1B16E7BB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Described the policy landscape: gap between platform rules and enforcement, noting </w:t>
      </w:r>
      <w:proofErr w:type="spellStart"/>
      <w:r>
        <w:t>Civitai’s</w:t>
      </w:r>
      <w:proofErr w:type="spellEnd"/>
      <w:r>
        <w:t xml:space="preserve"> proactive CSAM enforcement as evidence that capacity exists but is not applied to non-consensual deepfakes.</w:t>
      </w:r>
    </w:p>
    <w:p w14:paraId="58C4BA84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Enumerated the authors’ recommendations across platform actions, developer mitigations, and regulatory approaches.</w:t>
      </w:r>
    </w:p>
    <w:p w14:paraId="0E3432AC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Delivery: a bit monotonous. Could benefit from a more conversational tone next time — the current style was overly formal for the setting.</w:t>
      </w:r>
    </w:p>
    <w:p w14:paraId="0388A65D" w14:textId="77777777" w:rsidR="00BA3E7B" w:rsidRDefault="00BA3E7B">
      <w:pPr>
        <w:spacing w:after="120"/>
      </w:pPr>
    </w:p>
    <w:p w14:paraId="2C62E1E7" w14:textId="77777777" w:rsidR="00BA3E7B" w:rsidRDefault="00000000">
      <w:pPr>
        <w:spacing w:after="120"/>
      </w:pPr>
      <w:r>
        <w:rPr>
          <w:b/>
          <w:bCs/>
        </w:rPr>
        <w:t>Evaluator Notes (Danil):</w:t>
      </w:r>
    </w:p>
    <w:p w14:paraId="68812385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Provided positive praise for the presentation’s structure and coverage.</w:t>
      </w:r>
    </w:p>
    <w:p w14:paraId="3D3CA5E5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Similar pattern to Cohort 1’s evaluator: feedback remained focused on the paper’s topic itself rather than providing deeper critical analysis of the methodology or the presentation quality.</w:t>
      </w:r>
    </w:p>
    <w:p w14:paraId="5AB51057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Asked two questions during the discussion. Questions and answers were exchanged but specific details were not captured during the session.</w:t>
      </w:r>
    </w:p>
    <w:p w14:paraId="6F40C4C0" w14:textId="77777777" w:rsidR="00BA3E7B" w:rsidRDefault="00000000">
      <w:pPr>
        <w:pStyle w:val="Heading3"/>
        <w:spacing w:before="300" w:after="150"/>
      </w:pPr>
      <w:r>
        <w:t>Presentation 3 – Cohort 3</w:t>
      </w:r>
    </w:p>
    <w:p w14:paraId="22C8F037" w14:textId="77777777" w:rsidR="00BA3E7B" w:rsidRDefault="00000000">
      <w:pPr>
        <w:spacing w:after="120"/>
      </w:pPr>
      <w:r>
        <w:rPr>
          <w:b/>
          <w:bCs/>
        </w:rPr>
        <w:t xml:space="preserve">Speaker: </w:t>
      </w:r>
      <w:r>
        <w:t>Matteo Ardito (246633)</w:t>
      </w:r>
    </w:p>
    <w:p w14:paraId="11B42834" w14:textId="77777777" w:rsidR="00BA3E7B" w:rsidRDefault="00000000">
      <w:pPr>
        <w:spacing w:after="120"/>
      </w:pPr>
      <w:r>
        <w:rPr>
          <w:b/>
          <w:bCs/>
        </w:rPr>
        <w:t xml:space="preserve">Paper: </w:t>
      </w:r>
      <w:r>
        <w:t>QTMRL: AI for Quantitative Trading – Multi-Indicator Guided Reinforcement Learning (Jinan University, 2025)</w:t>
      </w:r>
    </w:p>
    <w:p w14:paraId="47770B89" w14:textId="77777777" w:rsidR="00BA3E7B" w:rsidRDefault="00000000">
      <w:pPr>
        <w:spacing w:after="120"/>
      </w:pPr>
      <w:r>
        <w:rPr>
          <w:b/>
          <w:bCs/>
        </w:rPr>
        <w:t xml:space="preserve">Evaluator: </w:t>
      </w:r>
      <w:r>
        <w:t>Filip Sarik (243537)</w:t>
      </w:r>
    </w:p>
    <w:p w14:paraId="3D026CE6" w14:textId="77777777" w:rsidR="00BA3E7B" w:rsidRDefault="00BA3E7B">
      <w:pPr>
        <w:spacing w:after="120"/>
      </w:pPr>
    </w:p>
    <w:p w14:paraId="21187D23" w14:textId="77777777" w:rsidR="00BA3E7B" w:rsidRDefault="00000000">
      <w:pPr>
        <w:spacing w:after="120"/>
      </w:pPr>
      <w:r>
        <w:rPr>
          <w:b/>
          <w:bCs/>
        </w:rPr>
        <w:t>Speaker Notes:</w:t>
      </w:r>
    </w:p>
    <w:p w14:paraId="4385696D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Introduced the main challenges the paper addresses: volatile markets, black swan events, rigid assumptions of conventional models, and the need for adaptive agents.</w:t>
      </w:r>
    </w:p>
    <w:p w14:paraId="702A5FE6" w14:textId="4480BAB2" w:rsidR="00BA3E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Explained the choice of reinforcement learning and its benefits: multi-dimensional information processing, strong </w:t>
      </w:r>
      <w:r w:rsidR="00C861E3">
        <w:t>generalization</w:t>
      </w:r>
      <w:r>
        <w:t>, and robustness against extreme market events.</w:t>
      </w:r>
    </w:p>
    <w:p w14:paraId="24ADEA93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Covered the QTMRL methodology: data processing pipeline converting OHLCV data into multi-indicator datasets, the A2C algorithm module (Actor network, Critic network, Advantage function), and the Trading Agent module.</w:t>
      </w:r>
    </w:p>
    <w:p w14:paraId="3F0CD228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Method explanation could have been more comprehensive. The technical depth was adequate for the A2C architecture but lacked detail on how the multi-indicator features were selected and processed.</w:t>
      </w:r>
    </w:p>
    <w:p w14:paraId="69E730AE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Did not present validation results. Slide 9 listed metrics (alpha, Sharpe ratio, beta) and described the dataset (S&amp;P 500, 2000–2022, 16 stocks, 5 sectors) but showed no actual performance numbers or comparison against baselines.</w:t>
      </w:r>
    </w:p>
    <w:p w14:paraId="65436F7B" w14:textId="77777777" w:rsidR="00BA3E7B" w:rsidRDefault="00BA3E7B">
      <w:pPr>
        <w:spacing w:after="120"/>
      </w:pPr>
    </w:p>
    <w:p w14:paraId="6718AD94" w14:textId="77777777" w:rsidR="00BA3E7B" w:rsidRDefault="00000000">
      <w:pPr>
        <w:spacing w:after="120"/>
      </w:pPr>
      <w:r>
        <w:rPr>
          <w:b/>
          <w:bCs/>
        </w:rPr>
        <w:t>Evaluator Notes (Filip):</w:t>
      </w:r>
    </w:p>
    <w:p w14:paraId="38C7F62F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Noted that more depth was needed on the methodology, particularly around the data processing pipeline and feature selection.</w:t>
      </w:r>
    </w:p>
    <w:p w14:paraId="6A3C46BB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Flagged the absence of baseline comparisons — no mention of what QTMRL was being compared against or how it performed relative to existing approaches.</w:t>
      </w:r>
    </w:p>
    <w:p w14:paraId="25727616" w14:textId="77777777" w:rsidR="00BA3E7B" w:rsidRDefault="00000000">
      <w:pPr>
        <w:pStyle w:val="ListParagraph"/>
        <w:numPr>
          <w:ilvl w:val="0"/>
          <w:numId w:val="2"/>
        </w:numPr>
        <w:spacing w:after="60"/>
      </w:pPr>
      <w:r>
        <w:t>Flagged the absence of a relevance section connecting the paper to the cohort’s own research, which is a required component of the Speaker role.</w:t>
      </w:r>
    </w:p>
    <w:p w14:paraId="3328F106" w14:textId="77777777" w:rsidR="00BA3E7B" w:rsidRDefault="00000000">
      <w:pPr>
        <w:pStyle w:val="Heading2"/>
        <w:spacing w:before="300" w:after="150"/>
      </w:pPr>
      <w:r>
        <w:t>4. Wrap-Up &amp; Reflection</w:t>
      </w:r>
    </w:p>
    <w:p w14:paraId="44B35483" w14:textId="370B3FFB" w:rsidR="00BA3E7B" w:rsidRDefault="00000000">
      <w:pPr>
        <w:spacing w:after="120"/>
      </w:pPr>
      <w:r>
        <w:rPr>
          <w:b/>
          <w:bCs/>
        </w:rPr>
        <w:t xml:space="preserve">Key takeaways: </w:t>
      </w:r>
      <w:r>
        <w:t xml:space="preserve">Three diverse papers were presented covering anomaly detection, deepfake governance, and RL-based trading. A recurring theme across all three was the tension between technical capability and practical constraints — latency vs accuracy in production, platform policy vs enforcement in generative AI, and model </w:t>
      </w:r>
      <w:r w:rsidR="00C861E3">
        <w:t>generalization</w:t>
      </w:r>
      <w:r>
        <w:t xml:space="preserve"> vs real-world market volatility.</w:t>
      </w:r>
    </w:p>
    <w:p w14:paraId="2EBDFD8F" w14:textId="77777777" w:rsidR="00BA3E7B" w:rsidRDefault="00BA3E7B">
      <w:pPr>
        <w:spacing w:after="120"/>
      </w:pPr>
    </w:p>
    <w:p w14:paraId="49B513DE" w14:textId="7D900A70" w:rsidR="00BA3E7B" w:rsidRDefault="00000000">
      <w:pPr>
        <w:spacing w:after="120"/>
      </w:pPr>
      <w:r>
        <w:rPr>
          <w:b/>
          <w:bCs/>
        </w:rPr>
        <w:t xml:space="preserve">Recurring observations: </w:t>
      </w:r>
      <w:r>
        <w:t xml:space="preserve">Both Cohort 1 and Cohort 2 evaluators tended to describe the paper content rather than critically </w:t>
      </w:r>
      <w:r w:rsidR="00C861E3">
        <w:t>analyze</w:t>
      </w:r>
      <w:r>
        <w:t xml:space="preserve"> the methodology or presentation quality. This is an area for improvement across the group. Cohort 3’s evaluator provided more targeted, actionable feedback identifying specific gaps.</w:t>
      </w:r>
    </w:p>
    <w:p w14:paraId="42C7F8F9" w14:textId="77777777" w:rsidR="00BA3E7B" w:rsidRDefault="00BA3E7B">
      <w:pPr>
        <w:spacing w:after="120"/>
      </w:pPr>
    </w:p>
    <w:p w14:paraId="0CA753AF" w14:textId="77777777" w:rsidR="00BA3E7B" w:rsidRDefault="00000000">
      <w:pPr>
        <w:spacing w:after="120"/>
      </w:pPr>
      <w:r>
        <w:rPr>
          <w:b/>
          <w:bCs/>
        </w:rPr>
        <w:t xml:space="preserve">Strengths: </w:t>
      </w:r>
      <w:r>
        <w:t>Cohort 1 (Leon) delivered the strongest presentation with clear structure, ablation analysis, and a well-developed relevance section. Cohort 2 (Max) provided thorough coverage of a complex socio-technical paper with strong quantitative data. All three cohorts had their roles confirmed and prepared in advance.</w:t>
      </w:r>
    </w:p>
    <w:p w14:paraId="0A421148" w14:textId="77777777" w:rsidR="00BA3E7B" w:rsidRDefault="00BA3E7B">
      <w:pPr>
        <w:spacing w:after="120"/>
      </w:pPr>
    </w:p>
    <w:p w14:paraId="239DAD2E" w14:textId="1F35D70A" w:rsidR="00BA3E7B" w:rsidRDefault="00000000">
      <w:pPr>
        <w:spacing w:after="120"/>
      </w:pPr>
      <w:r>
        <w:rPr>
          <w:b/>
          <w:bCs/>
        </w:rPr>
        <w:t xml:space="preserve">Areas for improvement: </w:t>
      </w:r>
      <w:r>
        <w:t xml:space="preserve">Cohort 3’s presentation had significant gaps (missing results, limitations, and relevance). Evaluators across cohorts should focus more on critical analysis rather than </w:t>
      </w:r>
      <w:r w:rsidR="00C861E3">
        <w:t>summarization</w:t>
      </w:r>
      <w:r>
        <w:t>. Delivery across all speakers could benefit from more natural pacing and enthusiasm.</w:t>
      </w:r>
    </w:p>
    <w:p w14:paraId="73099620" w14:textId="77777777" w:rsidR="00BA3E7B" w:rsidRDefault="00000000">
      <w:pPr>
        <w:pStyle w:val="Heading2"/>
        <w:spacing w:before="300" w:after="150"/>
      </w:pPr>
      <w:r>
        <w:t>5. Chairperson Reflection</w:t>
      </w:r>
    </w:p>
    <w:p w14:paraId="51D1305A" w14:textId="77777777" w:rsidR="00BA3E7B" w:rsidRDefault="00000000">
      <w:pPr>
        <w:spacing w:after="120"/>
      </w:pPr>
      <w:r>
        <w:rPr>
          <w:b/>
          <w:bCs/>
        </w:rPr>
        <w:t xml:space="preserve">What worked well: </w:t>
      </w:r>
      <w:r>
        <w:t>Role assignments were confirmed ahead of time for all three cohorts. Pre-session review of Speaker materials allowed for targeted feedback that improved at least one presentation (Leon’s Revision 2). The session ran in order with clear transitions between cohorts.</w:t>
      </w:r>
    </w:p>
    <w:p w14:paraId="6138C7BB" w14:textId="77777777" w:rsidR="00BA3E7B" w:rsidRDefault="00BA3E7B">
      <w:pPr>
        <w:spacing w:after="120"/>
      </w:pPr>
    </w:p>
    <w:p w14:paraId="5A53455F" w14:textId="77777777" w:rsidR="00BA3E7B" w:rsidRDefault="00000000">
      <w:pPr>
        <w:spacing w:after="120"/>
      </w:pPr>
      <w:r>
        <w:rPr>
          <w:b/>
          <w:bCs/>
        </w:rPr>
        <w:t xml:space="preserve">What could be improved: </w:t>
      </w:r>
      <w:r>
        <w:t>Cohort 3’s materials were submitted late and with significant gaps, leaving insufficient time for revision. Evaluator quality was inconsistent — consider sharing evaluation guidelines or examples ahead of the next session. Time management during Q&amp;A could be tighter.</w:t>
      </w:r>
    </w:p>
    <w:p w14:paraId="479931B1" w14:textId="77777777" w:rsidR="00BA3E7B" w:rsidRDefault="00BA3E7B">
      <w:pPr>
        <w:spacing w:after="120"/>
      </w:pPr>
    </w:p>
    <w:p w14:paraId="5B142785" w14:textId="77777777" w:rsidR="00BA3E7B" w:rsidRDefault="00000000">
      <w:pPr>
        <w:spacing w:after="120"/>
      </w:pPr>
      <w:r>
        <w:rPr>
          <w:b/>
          <w:bCs/>
        </w:rPr>
        <w:t xml:space="preserve">Notes for the next Chairperson: </w:t>
      </w:r>
      <w:r>
        <w:t>Enforce earlier deadlines for slide submissions to allow time for Chair review. Consider sending evaluators the Speaker’s slides in advance so they can prepare more substantive feedback. A brief reminder about the difference between describing a paper and critically evaluating it would benefit the group.</w:t>
      </w:r>
    </w:p>
    <w:sectPr w:rsidR="00BA3E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A6B5F"/>
    <w:multiLevelType w:val="hybridMultilevel"/>
    <w:tmpl w:val="CF6AC794"/>
    <w:lvl w:ilvl="0" w:tplc="0B2022C6">
      <w:start w:val="1"/>
      <w:numFmt w:val="bullet"/>
      <w:lvlText w:val="•"/>
      <w:lvlJc w:val="left"/>
      <w:pPr>
        <w:ind w:left="720" w:hanging="360"/>
      </w:pPr>
    </w:lvl>
    <w:lvl w:ilvl="1" w:tplc="4ADA1AE4">
      <w:numFmt w:val="decimal"/>
      <w:lvlText w:val=""/>
      <w:lvlJc w:val="left"/>
    </w:lvl>
    <w:lvl w:ilvl="2" w:tplc="10A0429E">
      <w:numFmt w:val="decimal"/>
      <w:lvlText w:val=""/>
      <w:lvlJc w:val="left"/>
    </w:lvl>
    <w:lvl w:ilvl="3" w:tplc="2EC473B2">
      <w:numFmt w:val="decimal"/>
      <w:lvlText w:val=""/>
      <w:lvlJc w:val="left"/>
    </w:lvl>
    <w:lvl w:ilvl="4" w:tplc="E548C156">
      <w:numFmt w:val="decimal"/>
      <w:lvlText w:val=""/>
      <w:lvlJc w:val="left"/>
    </w:lvl>
    <w:lvl w:ilvl="5" w:tplc="9F02A21C">
      <w:numFmt w:val="decimal"/>
      <w:lvlText w:val=""/>
      <w:lvlJc w:val="left"/>
    </w:lvl>
    <w:lvl w:ilvl="6" w:tplc="BF220F3A">
      <w:numFmt w:val="decimal"/>
      <w:lvlText w:val=""/>
      <w:lvlJc w:val="left"/>
    </w:lvl>
    <w:lvl w:ilvl="7" w:tplc="8BBE7AE8">
      <w:numFmt w:val="decimal"/>
      <w:lvlText w:val=""/>
      <w:lvlJc w:val="left"/>
    </w:lvl>
    <w:lvl w:ilvl="8" w:tplc="A8147E0C">
      <w:numFmt w:val="decimal"/>
      <w:lvlText w:val=""/>
      <w:lvlJc w:val="left"/>
    </w:lvl>
  </w:abstractNum>
  <w:abstractNum w:abstractNumId="1" w15:restartNumberingAfterBreak="0">
    <w:nsid w:val="73420DF5"/>
    <w:multiLevelType w:val="hybridMultilevel"/>
    <w:tmpl w:val="92DEC74A"/>
    <w:lvl w:ilvl="0" w:tplc="19F8C2CC">
      <w:start w:val="1"/>
      <w:numFmt w:val="bullet"/>
      <w:lvlText w:val="●"/>
      <w:lvlJc w:val="left"/>
      <w:pPr>
        <w:ind w:left="720" w:hanging="360"/>
      </w:pPr>
    </w:lvl>
    <w:lvl w:ilvl="1" w:tplc="B5D2C1E8">
      <w:start w:val="1"/>
      <w:numFmt w:val="bullet"/>
      <w:lvlText w:val="○"/>
      <w:lvlJc w:val="left"/>
      <w:pPr>
        <w:ind w:left="1440" w:hanging="360"/>
      </w:pPr>
    </w:lvl>
    <w:lvl w:ilvl="2" w:tplc="62666C9A">
      <w:start w:val="1"/>
      <w:numFmt w:val="bullet"/>
      <w:lvlText w:val="■"/>
      <w:lvlJc w:val="left"/>
      <w:pPr>
        <w:ind w:left="2160" w:hanging="360"/>
      </w:pPr>
    </w:lvl>
    <w:lvl w:ilvl="3" w:tplc="D11E10B4">
      <w:start w:val="1"/>
      <w:numFmt w:val="bullet"/>
      <w:lvlText w:val="●"/>
      <w:lvlJc w:val="left"/>
      <w:pPr>
        <w:ind w:left="2880" w:hanging="360"/>
      </w:pPr>
    </w:lvl>
    <w:lvl w:ilvl="4" w:tplc="4EC68C78">
      <w:start w:val="1"/>
      <w:numFmt w:val="bullet"/>
      <w:lvlText w:val="○"/>
      <w:lvlJc w:val="left"/>
      <w:pPr>
        <w:ind w:left="3600" w:hanging="360"/>
      </w:pPr>
    </w:lvl>
    <w:lvl w:ilvl="5" w:tplc="5F3CE4A0">
      <w:start w:val="1"/>
      <w:numFmt w:val="bullet"/>
      <w:lvlText w:val="■"/>
      <w:lvlJc w:val="left"/>
      <w:pPr>
        <w:ind w:left="4320" w:hanging="360"/>
      </w:pPr>
    </w:lvl>
    <w:lvl w:ilvl="6" w:tplc="93C2101E">
      <w:start w:val="1"/>
      <w:numFmt w:val="bullet"/>
      <w:lvlText w:val="●"/>
      <w:lvlJc w:val="left"/>
      <w:pPr>
        <w:ind w:left="5040" w:hanging="360"/>
      </w:pPr>
    </w:lvl>
    <w:lvl w:ilvl="7" w:tplc="BB1EF258">
      <w:start w:val="1"/>
      <w:numFmt w:val="bullet"/>
      <w:lvlText w:val="●"/>
      <w:lvlJc w:val="left"/>
      <w:pPr>
        <w:ind w:left="5760" w:hanging="360"/>
      </w:pPr>
    </w:lvl>
    <w:lvl w:ilvl="8" w:tplc="B0683B96">
      <w:start w:val="1"/>
      <w:numFmt w:val="bullet"/>
      <w:lvlText w:val="●"/>
      <w:lvlJc w:val="left"/>
      <w:pPr>
        <w:ind w:left="6480" w:hanging="360"/>
      </w:pPr>
    </w:lvl>
  </w:abstractNum>
  <w:num w:numId="1" w16cid:durableId="1986351872">
    <w:abstractNumId w:val="1"/>
    <w:lvlOverride w:ilvl="0">
      <w:startOverride w:val="1"/>
    </w:lvlOverride>
  </w:num>
  <w:num w:numId="2" w16cid:durableId="455635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E7B"/>
    <w:rsid w:val="00B417F3"/>
    <w:rsid w:val="00BA3E7B"/>
    <w:rsid w:val="00C8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8C6A"/>
  <w15:docId w15:val="{83B818B9-CF83-4FDD-813E-E24C398A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2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1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Filipp Lotsmanov</cp:lastModifiedBy>
  <cp:revision>2</cp:revision>
  <dcterms:created xsi:type="dcterms:W3CDTF">2026-03-04T14:34:00Z</dcterms:created>
  <dcterms:modified xsi:type="dcterms:W3CDTF">2026-03-04T15:36:00Z</dcterms:modified>
</cp:coreProperties>
</file>