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CA70" w14:textId="0CCB485C" w:rsidR="007B3CF5" w:rsidRDefault="007B3CF5" w:rsidP="007B3CF5">
      <w:pPr>
        <w:jc w:val="center"/>
      </w:pPr>
      <w:r>
        <w:t>Звіт до Лаб 2</w:t>
      </w:r>
    </w:p>
    <w:p w14:paraId="40CD3A1F" w14:textId="6C0CA195" w:rsidR="003B3667" w:rsidRDefault="007B3CF5">
      <w:r w:rsidRPr="007B3CF5">
        <w:drawing>
          <wp:inline distT="0" distB="0" distL="0" distR="0" wp14:anchorId="7A113382" wp14:editId="5425A1C9">
            <wp:extent cx="6120765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6AD" w14:textId="5C873590" w:rsidR="007B3CF5" w:rsidRDefault="007B3CF5">
      <w:r w:rsidRPr="007B3CF5">
        <w:lastRenderedPageBreak/>
        <w:drawing>
          <wp:inline distT="0" distB="0" distL="0" distR="0" wp14:anchorId="043F9F51" wp14:editId="6525219B">
            <wp:extent cx="6120765" cy="6368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1A0" w14:textId="25E20CAA" w:rsidR="007B3CF5" w:rsidRDefault="007B3CF5">
      <w:r>
        <w:t>Аналіз обчислення показників продажу нерухомості за 20012 -2013 рік з динамікою продаж у часі по таргетованим категоріям не рухомості і районам одного з кварталів Нью-Йорка.</w:t>
      </w:r>
    </w:p>
    <w:sectPr w:rsidR="007B3C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67"/>
    <w:rsid w:val="003B3667"/>
    <w:rsid w:val="007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788E"/>
  <w15:chartTrackingRefBased/>
  <w15:docId w15:val="{C0F28D5E-9249-4F35-A433-F74D97DC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Нікітенко</dc:creator>
  <cp:keywords/>
  <dc:description/>
  <cp:lastModifiedBy>Олексій Нікітенко</cp:lastModifiedBy>
  <cp:revision>2</cp:revision>
  <dcterms:created xsi:type="dcterms:W3CDTF">2022-10-09T21:45:00Z</dcterms:created>
  <dcterms:modified xsi:type="dcterms:W3CDTF">2022-10-09T21:48:00Z</dcterms:modified>
</cp:coreProperties>
</file>