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numPr>
          <w:ilvl w:val="0"/>
          <w:numId w:val="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14. Є Input поле, яке приймає цілі значення від 18 до 99 включно. Потрібно протестувати за допомогою технік Boundary Values Analysis і Equivalence Partitioning.</w:t>
      </w:r>
    </w:p>
    <w:p>
      <w:pPr>
        <w:pStyle w:val="Style18"/>
        <w:numPr>
          <w:ilvl w:val="0"/>
          <w:numId w:val="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lang w:val="en-US"/>
        </w:rPr>
      </w:r>
    </w:p>
    <w:p>
      <w:pPr>
        <w:pStyle w:val="Style18"/>
        <w:numPr>
          <w:ilvl w:val="0"/>
          <w:numId w:val="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131" w:hanging="0"/>
        <w:rPr/>
      </w:pPr>
      <w:r>
        <w:rPr>
          <w:rFonts w:eastAsia="Nachlieli CLM" w:cs="Nachlieli CLM" w:ascii="Nachlieli CLM" w:hAnsi="Nachlieli CLM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  <w:lang w:val="en-US"/>
        </w:rPr>
        <w:t>∞</w:t>
      </w:r>
    </w:p>
    <w:p>
      <w:pPr>
        <w:pStyle w:val="Style18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lang w:val="en-US"/>
        </w:rPr>
      </w:pPr>
      <w:r>
        <w:rPr>
          <w:lang w:val="en-US"/>
        </w:rPr>
      </w:r>
    </w:p>
    <w:tbl>
      <w:tblPr>
        <w:tblW w:w="543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5"/>
        <w:gridCol w:w="1769"/>
        <w:gridCol w:w="1816"/>
      </w:tblGrid>
      <w:tr>
        <w:trPr/>
        <w:tc>
          <w:tcPr>
            <w:tcW w:w="1845" w:type="dxa"/>
            <w:tcBorders/>
            <w:vAlign w:val="center"/>
          </w:tcPr>
          <w:p>
            <w:pPr>
              <w:pStyle w:val="Style22"/>
              <w:widowControl w:val="false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69" w:type="dxa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Style22"/>
              <w:widowControl w:val="false"/>
              <w:spacing w:before="0" w:after="0"/>
              <w:rPr>
                <w:rFonts w:ascii="Raleway" w:hAnsi="Raleway" w:eastAsia="Raleway" w:cs="Raleway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Raleway" w:hAnsi="Raleway"/>
                <w:b w:val="false"/>
                <w:sz w:val="26"/>
              </w:rPr>
              <w:t>Boundary Values Analysis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Style22"/>
              <w:widowControl w:val="false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45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69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6" w:type="dxa"/>
            <w:tcBorders>
              <w:bottom w:val="single" w:sz="2" w:space="0" w:color="000000"/>
            </w:tcBorders>
            <w:tcMar>
              <w:bottom w:w="30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FF00" w:val="clear"/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невалідні</w:t>
            </w:r>
          </w:p>
        </w:tc>
        <w:tc>
          <w:tcPr>
            <w:tcW w:w="1769" w:type="dxa"/>
            <w:tcBorders>
              <w:bottom w:val="single" w:sz="2" w:space="0" w:color="000000"/>
              <w:right w:val="single" w:sz="2" w:space="0" w:color="000000"/>
            </w:tcBorders>
            <w:shd w:fill="00FF00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валідні</w:t>
            </w:r>
          </w:p>
        </w:tc>
        <w:tc>
          <w:tcPr>
            <w:tcW w:w="1816" w:type="dxa"/>
            <w:tcBorders>
              <w:bottom w:val="single" w:sz="2" w:space="0" w:color="000000"/>
              <w:right w:val="single" w:sz="2" w:space="0" w:color="000000"/>
            </w:tcBorders>
            <w:shd w:fill="00FF00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невалідні</w:t>
            </w:r>
          </w:p>
        </w:tc>
      </w:tr>
      <w:tr>
        <w:trPr/>
        <w:tc>
          <w:tcPr>
            <w:tcW w:w="1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меньше 18</w:t>
            </w:r>
          </w:p>
        </w:tc>
        <w:tc>
          <w:tcPr>
            <w:tcW w:w="1769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18 -99</w:t>
            </w:r>
          </w:p>
        </w:tc>
        <w:tc>
          <w:tcPr>
            <w:tcW w:w="1816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більше 99</w:t>
            </w:r>
          </w:p>
        </w:tc>
      </w:tr>
      <w:tr>
        <w:trPr/>
        <w:tc>
          <w:tcPr>
            <w:tcW w:w="1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117</w:t>
            </w:r>
          </w:p>
        </w:tc>
        <w:tc>
          <w:tcPr>
            <w:tcW w:w="1769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18 - 99</w:t>
            </w:r>
          </w:p>
        </w:tc>
        <w:tc>
          <w:tcPr>
            <w:tcW w:w="1816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100</w:t>
            </w:r>
          </w:p>
        </w:tc>
      </w:tr>
      <w:tr>
        <w:trPr/>
        <w:tc>
          <w:tcPr>
            <w:tcW w:w="1845" w:type="dxa"/>
            <w:tcBorders/>
            <w:vAlign w:val="center"/>
          </w:tcPr>
          <w:p>
            <w:pPr>
              <w:pStyle w:val="Style22"/>
              <w:widowControl w:val="false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Style22"/>
              <w:widowControl w:val="false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Style22"/>
              <w:widowControl w:val="false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8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lang w:val="en-US"/>
        </w:rPr>
      </w:pPr>
      <w:r>
        <w:rPr>
          <w:lang w:val="en-US"/>
        </w:rPr>
      </w:r>
    </w:p>
    <w:p>
      <w:pPr>
        <w:pStyle w:val="Style18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lang w:val="en-US"/>
        </w:rPr>
      </w:pPr>
      <w:r>
        <w:rPr>
          <w:lang w:val="en-US"/>
        </w:rPr>
      </w:r>
    </w:p>
    <w:p>
      <w:pPr>
        <w:pStyle w:val="Style18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lang w:val="en-US"/>
        </w:rPr>
      </w:pPr>
      <w:r>
        <w:rPr>
          <w:lang w:val="en-US"/>
        </w:rPr>
      </w:r>
    </w:p>
    <w:p>
      <w:pPr>
        <w:pStyle w:val="Style18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lang w:val="en-US"/>
        </w:rPr>
      </w:pPr>
      <w:r>
        <w:rPr>
          <w:lang w:val="en-US"/>
        </w:rPr>
      </w:r>
    </w:p>
    <w:tbl>
      <w:tblPr>
        <w:tblW w:w="61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28" w:type="dxa"/>
        </w:tblCellMar>
      </w:tblPr>
      <w:tblGrid>
        <w:gridCol w:w="2219"/>
        <w:gridCol w:w="2100"/>
        <w:gridCol w:w="1861"/>
      </w:tblGrid>
      <w:tr>
        <w:trPr/>
        <w:tc>
          <w:tcPr>
            <w:tcW w:w="2219" w:type="dxa"/>
            <w:tcBorders>
              <w:right w:val="single" w:sz="2" w:space="0" w:color="000000"/>
            </w:tcBorders>
            <w:vAlign w:val="center"/>
          </w:tcPr>
          <w:p>
            <w:pPr>
              <w:pStyle w:val="Style22"/>
              <w:widowControl w:val="false"/>
              <w:spacing w:before="0" w:after="0"/>
              <w:rPr>
                <w:rFonts w:ascii="Raleway" w:hAnsi="Raleway" w:eastAsia="Raleway" w:cs="Raleway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Raleway" w:hAnsi="Raleway"/>
                <w:b w:val="false"/>
                <w:sz w:val="26"/>
              </w:rPr>
              <w:t>Equivalence Partitioning</w:t>
            </w:r>
          </w:p>
        </w:tc>
        <w:tc>
          <w:tcPr>
            <w:tcW w:w="2100" w:type="dxa"/>
            <w:tcBorders/>
            <w:tcMar>
              <w:right w:w="0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1" w:type="dxa"/>
            <w:tcBorders/>
            <w:tcMar>
              <w:right w:w="0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19" w:type="dxa"/>
            <w:tcBorders>
              <w:bottom w:val="single" w:sz="2" w:space="0" w:color="000000"/>
            </w:tcBorders>
            <w:tcMar>
              <w:bottom w:w="30" w:type="dxa"/>
              <w:right w:w="0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0" w:type="dxa"/>
            <w:tcBorders>
              <w:bottom w:val="single" w:sz="2" w:space="0" w:color="000000"/>
            </w:tcBorders>
            <w:tcMar>
              <w:bottom w:w="30" w:type="dxa"/>
              <w:right w:w="0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1" w:type="dxa"/>
            <w:tcBorders>
              <w:bottom w:val="single" w:sz="2" w:space="0" w:color="000000"/>
            </w:tcBorders>
            <w:tcMar>
              <w:bottom w:w="30" w:type="dxa"/>
              <w:right w:w="0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FF00" w:val="clear"/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невалідні</w:t>
            </w:r>
          </w:p>
        </w:tc>
        <w:tc>
          <w:tcPr>
            <w:tcW w:w="2100" w:type="dxa"/>
            <w:tcBorders>
              <w:bottom w:val="single" w:sz="2" w:space="0" w:color="000000"/>
              <w:right w:val="single" w:sz="2" w:space="0" w:color="000000"/>
            </w:tcBorders>
            <w:shd w:fill="00FF00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валідні</w:t>
            </w:r>
          </w:p>
        </w:tc>
        <w:tc>
          <w:tcPr>
            <w:tcW w:w="1861" w:type="dxa"/>
            <w:tcBorders>
              <w:bottom w:val="single" w:sz="2" w:space="0" w:color="000000"/>
              <w:right w:val="single" w:sz="2" w:space="0" w:color="000000"/>
            </w:tcBorders>
            <w:shd w:fill="00FF00" w:val="clear"/>
            <w:tcMar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невалідні</w:t>
            </w:r>
          </w:p>
        </w:tc>
      </w:tr>
      <w:tr>
        <w:trPr/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меньше 18</w:t>
            </w:r>
          </w:p>
        </w:tc>
        <w:tc>
          <w:tcPr>
            <w:tcW w:w="2100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18 -99</w:t>
            </w:r>
          </w:p>
        </w:tc>
        <w:tc>
          <w:tcPr>
            <w:tcW w:w="186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більше 99</w:t>
            </w:r>
          </w:p>
        </w:tc>
      </w:tr>
      <w:tr>
        <w:trPr/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i w:val="false"/>
                <w:caps w:val="false"/>
                <w:smallCaps w:val="false"/>
                <w:sz w:val="40"/>
              </w:rPr>
              <w:t>-</w:t>
            </w:r>
            <w:r>
              <w:rPr>
                <w:caps w:val="false"/>
                <w:smallCaps w:val="false"/>
              </w:rPr>
              <w:t xml:space="preserve">∞ </w:t>
            </w: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....15,16,17</w:t>
            </w:r>
          </w:p>
        </w:tc>
        <w:tc>
          <w:tcPr>
            <w:tcW w:w="2100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/>
              <w:t>18,19,20...-...97,98,99</w:t>
            </w:r>
          </w:p>
        </w:tc>
        <w:tc>
          <w:tcPr>
            <w:tcW w:w="1861" w:type="dxa"/>
            <w:tcBorders>
              <w:bottom w:val="single" w:sz="2" w:space="0" w:color="000000"/>
              <w:right w:val="single" w:sz="2" w:space="0" w:color="000000"/>
            </w:tcBorders>
            <w:tcMar>
              <w:bottom w:w="30" w:type="dxa"/>
              <w:right w:w="45" w:type="dxa"/>
            </w:tcMar>
            <w:vAlign w:val="center"/>
          </w:tcPr>
          <w:p>
            <w:pPr>
              <w:pStyle w:val="Style22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100,101,102.....+</w:t>
            </w:r>
            <w:r>
              <w:rPr>
                <w:caps w:val="false"/>
                <w:smallCaps w:val="false"/>
              </w:rPr>
              <w:t>∞</w:t>
            </w:r>
          </w:p>
        </w:tc>
      </w:tr>
    </w:tbl>
    <w:p>
      <w:pPr>
        <w:pStyle w:val="Style18"/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lang w:val="en-US"/>
        </w:rPr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Raleway">
    <w:altName w:val="sans-serif"/>
    <w:charset w:val="cc"/>
    <w:family w:val="roman"/>
    <w:pitch w:val="variable"/>
  </w:font>
  <w:font w:name="Nachlieli CLM">
    <w:charset w:val="cc"/>
    <w:family w:val="roman"/>
    <w:pitch w:val="variable"/>
  </w:font>
  <w:font w:name="Raleway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Гіперпосилання"/>
    <w:basedOn w:val="DefaultParagraphFont"/>
    <w:uiPriority w:val="99"/>
    <w:unhideWhenUsed/>
    <w:rsid w:val="007102fc"/>
    <w:rPr>
      <w:color w:val="0000FF" w:themeColor="hyperlink"/>
      <w:u w:val="single"/>
    </w:rPr>
  </w:style>
  <w:style w:type="character" w:styleId="Style13" w:customStyle="1">
    <w:name w:val="Виділення"/>
    <w:qFormat/>
    <w:rPr>
      <w:i/>
      <w:iCs/>
    </w:rPr>
  </w:style>
  <w:style w:type="character" w:styleId="Style14" w:customStyle="1">
    <w:name w:val="Відвідане гіперпосилання"/>
    <w:rPr>
      <w:color w:val="800000"/>
      <w:u w:val="single"/>
    </w:rPr>
  </w:style>
  <w:style w:type="character" w:styleId="Style15" w:customStyle="1">
    <w:name w:val="Символ нумерації"/>
    <w:qFormat/>
    <w:rPr/>
  </w:style>
  <w:style w:type="character" w:styleId="Style16" w:customStyle="1">
    <w:name w:val="Маркери"/>
    <w:qFormat/>
    <w:rPr>
      <w:rFonts w:ascii="OpenSymbol" w:hAnsi="OpenSymbol" w:eastAsia="OpenSymbol" w:cs="OpenSymbol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 w:customStyle="1">
    <w:name w:val="Покажчик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 w:customStyle="1">
    <w:name w:val="Default"/>
    <w:qFormat/>
    <w:rsid w:val="007102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uk-UA" w:eastAsia="en-US" w:bidi="ar-SA"/>
    </w:rPr>
  </w:style>
  <w:style w:type="paragraph" w:styleId="Style22" w:customStyle="1">
    <w:name w:val="Вміст таблиці"/>
    <w:basedOn w:val="Normal"/>
    <w:qFormat/>
    <w:pPr>
      <w:widowControl w:val="false"/>
      <w:suppressLineNumbers/>
    </w:pPr>
    <w:rPr/>
  </w:style>
  <w:style w:type="paragraph" w:styleId="Style23" w:customStyle="1">
    <w:name w:val="Заголовок таблиці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Application>LibreOffice/7.0.0.3$Windows_X86_64 LibreOffice_project/8061b3e9204bef6b321a21033174034a5e2ea88e</Application>
  <Pages>1</Pages>
  <Words>57</Words>
  <Characters>341</Characters>
  <CharactersWithSpaces>376</CharactersWithSpaces>
  <Paragraphs>22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2023-05-10T08:20:00Z</dcterms:created>
  <dc:creator>Володимир Панченко</dc:creator>
  <dc:description/>
  <dc:language>uk-UA</dc:language>
  <cp:lastModifiedBy/>
  <dcterms:modified xsi:type="dcterms:W3CDTF">2023-09-26T12:37:19Z</dcterms:modified>
  <cp:revision>540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