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Informe de conclusiones descriptivo y diagnostico</w:t>
      </w:r>
    </w:p>
    <w:p>
      <w:pPr>
        <w:spacing w:after="240"/>
      </w:pPr>
      <w:r>
        <w:rPr>
          <w:color w:val="5A5A5A"/>
          <w:sz w:val="22"/>
        </w:rPr>
        <w:t>Proyecto SQL DB Yu-Gi-Oh | Informe generado desde Markdown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 xml:space="preserve">Criterio de lectura: </w:t>
            </w:r>
            <w:r>
              <w:t>hallazgo -&gt; por que importa -&gt; accion sugerida.</w:t>
            </w:r>
          </w:p>
        </w:tc>
      </w:tr>
    </w:tbl>
    <w:p/>
    <w:p>
      <w:r>
        <w:t xml:space="preserve">Fuente de evidencias: exportaciones CSV de </w:t>
      </w:r>
      <w:r>
        <w:rPr>
          <w:rFonts w:ascii="Consolas" w:hAnsi="Consolas"/>
          <w:color w:val="1F4D78"/>
          <w:sz w:val="20"/>
        </w:rPr>
        <w:t>powerbi/exportaciones/analisis_desc_diag</w:t>
      </w:r>
      <w:r>
        <w:t>.</w:t>
      </w:r>
    </w:p>
    <w:p>
      <w:r>
        <w:t>Fecha de elaboracion: 2026-06-23.</w:t>
      </w:r>
    </w:p>
    <w:p>
      <w:pPr>
        <w:pStyle w:val="Heading1"/>
      </w:pPr>
      <w:r>
        <w:t>1. Objetivo</w:t>
      </w:r>
    </w:p>
    <w:p>
      <w:r>
        <w:t>Convertir los visuales descriptivos y diagnosticos de Power BI en conclusiones reutilizables para orientar decisiones comerciales sobre cartas individuales de Yu-Gi-Oh.</w:t>
      </w:r>
    </w:p>
    <w:p>
      <w:r>
        <w:t>El informe sigue la regla del marco:</w:t>
      </w:r>
    </w:p>
    <w:p>
      <w:pPr>
        <w:spacing w:after="160"/>
        <w:ind w:left="360"/>
      </w:pPr>
      <w:r>
        <w:rPr>
          <w:rFonts w:ascii="Consolas" w:hAnsi="Consolas"/>
          <w:color w:val="1F4D78"/>
          <w:sz w:val="18"/>
        </w:rPr>
        <w:t>hallazgo -&gt; por que importa -&gt; accion sugerida</w:t>
      </w:r>
    </w:p>
    <w:p>
      <w:pPr>
        <w:pStyle w:val="Heading1"/>
      </w:pPr>
      <w:r>
        <w:t>2. Alcance y cautelas</w:t>
      </w:r>
    </w:p>
    <w:p>
      <w:pPr>
        <w:pStyle w:val="ListBullet"/>
      </w:pPr>
      <w:r>
        <w:t>El analisis trabaja con precios observados en el mercado secundario.</w:t>
      </w:r>
    </w:p>
    <w:p>
      <w:pPr>
        <w:pStyle w:val="ListBullet"/>
      </w:pPr>
      <w:r>
        <w:t>Los precios exportados por marketplace corresponden a `ebay`, `amazon`, `coolstuffinc` y `tcgplayer`.</w:t>
      </w:r>
    </w:p>
    <w:p>
      <w:pPr>
        <w:pStyle w:val="ListBullet"/>
      </w:pPr>
      <w:r>
        <w:t>No se mezclan monedas en una misma conclusion sin segmentacion visible.</w:t>
      </w:r>
    </w:p>
    <w:p>
      <w:pPr>
        <w:pStyle w:val="ListBullet"/>
      </w:pPr>
      <w:r>
        <w:t>Los outliers deben revisarse antes de convertir rankings en recomendaciones.</w:t>
      </w:r>
    </w:p>
    <w:p>
      <w:pPr>
        <w:pStyle w:val="ListBullet"/>
      </w:pPr>
      <w:r>
        <w:t>El interes estimado por arquetipo es un proxy: combina presencia, impresiones y valor observado; no equivale a ventas reales.</w:t>
      </w:r>
    </w:p>
    <w:p>
      <w:pPr>
        <w:pStyle w:val="Heading1"/>
      </w:pPr>
      <w:r>
        <w:t>3. Conclusiones descriptivas</w:t>
      </w:r>
    </w:p>
    <w:p>
      <w:pPr>
        <w:pStyle w:val="Heading2"/>
      </w:pPr>
      <w:r>
        <w:t>3.1 Precio medio por marketplace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Marketplace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Precio medio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ebay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$4,56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amazon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$4,28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coolstuffinc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$1,45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tcgplayer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$1,19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/>
      <w:r>
        <w:rPr>
          <w:rFonts w:ascii="Consolas" w:hAnsi="Consolas"/>
          <w:color w:val="1F4D78"/>
          <w:sz w:val="20"/>
        </w:rPr>
        <w:t>ebay</w:t>
      </w:r>
      <w:r>
        <w:t xml:space="preserve"> y </w:t>
      </w:r>
      <w:r>
        <w:rPr>
          <w:rFonts w:ascii="Consolas" w:hAnsi="Consolas"/>
          <w:color w:val="1F4D78"/>
          <w:sz w:val="20"/>
        </w:rPr>
        <w:t>amazon</w:t>
      </w:r>
      <w:r>
        <w:t xml:space="preserve"> muestran precios medios superiores a </w:t>
      </w:r>
      <w:r>
        <w:rPr>
          <w:rFonts w:ascii="Consolas" w:hAnsi="Consolas"/>
          <w:color w:val="1F4D78"/>
          <w:sz w:val="20"/>
        </w:rPr>
        <w:t>tcgplayer</w:t>
      </w:r>
      <w:r>
        <w:t xml:space="preserve"> y </w:t>
      </w:r>
      <w:r>
        <w:rPr>
          <w:rFonts w:ascii="Consolas" w:hAnsi="Consolas"/>
          <w:color w:val="1F4D78"/>
          <w:sz w:val="20"/>
        </w:rPr>
        <w:t>coolstuffinc</w:t>
      </w:r>
      <w:r>
        <w:t>. La comparacion entre marketplaces debe mantenerse separada, porque cada fuente puede representar condiciones de mercado distintas.</w:t>
      </w:r>
    </w:p>
    <w:p>
      <w:r>
        <w:rPr>
          <w:b/>
          <w:color w:val="1F4D78"/>
        </w:rPr>
        <w:t>Accion sugerida:</w:t>
      </w:r>
    </w:p>
    <w:p>
      <w:r>
        <w:t>Usar marketplace como segmentador obligatorio en visuales monetarios y evitar un ranking unico de precios si no se explica la fuente.</w:t>
      </w:r>
    </w:p>
    <w:p>
      <w:pPr>
        <w:pStyle w:val="Heading2"/>
      </w:pPr>
      <w:r>
        <w:t>3.2 Cartas con mayor precio medio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Carta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Precio medio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Blood Mefist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$933,73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Ten Thousand Dragon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$679,22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Holactie the Creator of Light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$506,43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Doriado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$501,51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Your Game On!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$456,75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>
        <w:t>El ranking de precio medio identifica cartas de alto valor, pero no debe interpretarse automaticamente como recomendacion comercial. Algunas cartas pueden deber su posicion a rareza, disponibilidad limitada o registros extremos.</w:t>
      </w:r>
    </w:p>
    <w:p>
      <w:r>
        <w:rPr>
          <w:b/>
          <w:color w:val="1F4D78"/>
        </w:rPr>
        <w:t>Accion sugerida:</w:t>
      </w:r>
    </w:p>
    <w:p>
      <w:r>
        <w:t>Usar este ranking como entrada de revision, cruzandolo con rareza, set, outliers y legalidad antes de destacar cartas.</w:t>
      </w:r>
    </w:p>
    <w:p>
      <w:pPr>
        <w:pStyle w:val="Heading2"/>
      </w:pPr>
      <w:r>
        <w:t>3.3 Cartas con mayor presencia en sets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Carta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Sets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Mystical Space Typhoon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58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Blue-Eyes White Dragon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56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Call of the Haunted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Dark Magician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45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Book of Moon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37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>
        <w:t>Las cartas con mas apariciones en sets muestran alta recurrencia y disponibilidad historica. Esta presencia no implica mayor valor por si sola, pero si indica cartas reconocibles y utiles para segmentar analisis posteriores.</w:t>
      </w:r>
    </w:p>
    <w:p>
      <w:r>
        <w:rPr>
          <w:b/>
          <w:color w:val="1F4D78"/>
        </w:rPr>
        <w:t>Accion sugerida:</w:t>
      </w:r>
    </w:p>
    <w:p>
      <w:r>
        <w:t>Usar estas cartas como candidatas de seguimiento cuando tambien cumplan precio relevante, legalidad competitiva o relacion con arquetipos prioritarios.</w:t>
      </w:r>
    </w:p>
    <w:p>
      <w:pPr>
        <w:pStyle w:val="Heading2"/>
      </w:pPr>
      <w:r>
        <w:t>3.4 Sets con mayor valor de mercado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Set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Valor observado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Shonen Jump Championship 2007 Prize Card A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115033.33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Shonen Jump Championship 2005 Prize Card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95074.95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Yu-Gi-Oh! Championship Series 2010 Prize Cards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30547.47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Retro Pack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25119.51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Shonen Jump Championship 2004 Prize Card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24067.80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>
        <w:t>Los sets con mayor valor estan muy influidos por cartas premio o productos con disponibilidad excepcional. Estos sets explican valor extremo, pero pueden distorsionar una lectura general del catalogo.</w:t>
      </w:r>
    </w:p>
    <w:p>
      <w:r>
        <w:rPr>
          <w:b/>
          <w:color w:val="1F4D78"/>
        </w:rPr>
        <w:t>Accion sugerida:</w:t>
      </w:r>
    </w:p>
    <w:p>
      <w:r>
        <w:t>Separar sets de premio o ediciones excepcionales de los analisis de producto comun antes de proponer decisiones comerciales.</w:t>
      </w:r>
    </w:p>
    <w:p>
      <w:pPr>
        <w:pStyle w:val="Heading1"/>
      </w:pPr>
      <w:r>
        <w:t>4. Conclusiones diagnosticas</w:t>
      </w:r>
    </w:p>
    <w:p>
      <w:pPr>
        <w:pStyle w:val="Heading2"/>
      </w:pPr>
      <w:r>
        <w:t>4.1 Rarezas asociadas a precios superiores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Rareza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Precio medio rareza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Precio medio global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Elevacion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10000 Secret Rare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1961.53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46.00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1915.53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Starlight Rare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416.48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46.00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370.48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Ghost Rare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318.17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46.00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272.16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Duel Terminal Rare Parallel Rare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301.75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46.00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255.75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Extra Secret Rare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262.63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46.00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216.63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>
        <w:t xml:space="preserve">La rareza es un factor explicativo fuerte del precio. </w:t>
      </w:r>
      <w:r>
        <w:rPr>
          <w:rFonts w:ascii="Consolas" w:hAnsi="Consolas"/>
          <w:color w:val="1F4D78"/>
          <w:sz w:val="20"/>
        </w:rPr>
        <w:t>10000 Secret Rare</w:t>
      </w:r>
      <w:r>
        <w:t xml:space="preserve">, </w:t>
      </w:r>
      <w:r>
        <w:rPr>
          <w:rFonts w:ascii="Consolas" w:hAnsi="Consolas"/>
          <w:color w:val="1F4D78"/>
          <w:sz w:val="20"/>
        </w:rPr>
        <w:t>Starlight Rare</w:t>
      </w:r>
      <w:r>
        <w:t xml:space="preserve"> y </w:t>
      </w:r>
      <w:r>
        <w:rPr>
          <w:rFonts w:ascii="Consolas" w:hAnsi="Consolas"/>
          <w:color w:val="1F4D78"/>
          <w:sz w:val="20"/>
        </w:rPr>
        <w:t>Ghost Rare</w:t>
      </w:r>
      <w:r>
        <w:t xml:space="preserve"> quedan claramente por encima del precio medio global.</w:t>
      </w:r>
    </w:p>
    <w:p>
      <w:r>
        <w:rPr>
          <w:b/>
          <w:color w:val="1F4D78"/>
        </w:rPr>
        <w:t>Accion sugerida:</w:t>
      </w:r>
    </w:p>
    <w:p>
      <w:r>
        <w:t>Usar rareza como criterio de justificacion comercial, pero comprobar outliers cuando el precio maximo de una rareza sea excepcional.</w:t>
      </w:r>
    </w:p>
    <w:p>
      <w:pPr>
        <w:pStyle w:val="Heading2"/>
      </w:pPr>
      <w:r>
        <w:t>4.2 Outliers de precio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Carta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Rareza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Precio maximo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Crush Card Virus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Ultra Rare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115033.33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 Volstgalph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Ultra Rare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95074.95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Cyber-Stein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Ultra Rare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24067.80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Gold Sarcophagus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Ultra Rare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24000.00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Darklord Asmodeus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Ultra Rare</w:t>
            </w:r>
          </w:p>
        </w:tc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20299.50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>
        <w:t>Los outliers se concentran en impresiones muy concretas, especialmente cartas premio o ediciones excepcionales. Estos valores pueden elevar medias por rareza, set o arquetipo.</w:t>
      </w:r>
    </w:p>
    <w:p>
      <w:r>
        <w:rPr>
          <w:b/>
          <w:color w:val="1F4D78"/>
        </w:rPr>
        <w:t>Accion sugerida:</w:t>
      </w:r>
    </w:p>
    <w:p>
      <w:r>
        <w:t xml:space="preserve">Marcar estas cartas como </w:t>
      </w:r>
      <w:r>
        <w:rPr>
          <w:rFonts w:ascii="Consolas" w:hAnsi="Consolas"/>
          <w:color w:val="1F4D78"/>
          <w:sz w:val="20"/>
        </w:rPr>
        <w:t>Revisar antes de accionar</w:t>
      </w:r>
      <w:r>
        <w:t xml:space="preserve"> y excluirlas o segmentarlas cuando el objetivo sea entender precios representativos.</w:t>
      </w:r>
    </w:p>
    <w:p>
      <w:pPr>
        <w:pStyle w:val="Heading2"/>
      </w:pPr>
      <w:r>
        <w:t>4.3 Arquetipos con mayor interes estimado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Arquetipo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Peso estimado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Cartas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Impresiones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Codigos set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Darklord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30662.86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72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Blue-Eyes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10511.25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326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274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Lightsworn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9715.02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187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157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Utopia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8079.59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117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95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Harpie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6822.49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196</w:t>
            </w:r>
          </w:p>
        </w:tc>
        <w:tc>
          <w:tcPr>
            <w:tcW w:type="dxa" w:w="1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176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/>
      <w:r>
        <w:rPr>
          <w:rFonts w:ascii="Consolas" w:hAnsi="Consolas"/>
          <w:color w:val="1F4D78"/>
          <w:sz w:val="20"/>
        </w:rPr>
        <w:t>Darklord</w:t>
      </w:r>
      <w:r>
        <w:t xml:space="preserve"> lidera por peso estimado, pero su lectura debe revisarse porque incluye precios maximos muy altos. </w:t>
      </w:r>
      <w:r>
        <w:rPr>
          <w:rFonts w:ascii="Consolas" w:hAnsi="Consolas"/>
          <w:color w:val="1F4D78"/>
          <w:sz w:val="20"/>
        </w:rPr>
        <w:t>Blue-Eyes</w:t>
      </w:r>
      <w:r>
        <w:t xml:space="preserve">, </w:t>
      </w:r>
      <w:r>
        <w:rPr>
          <w:rFonts w:ascii="Consolas" w:hAnsi="Consolas"/>
          <w:color w:val="1F4D78"/>
          <w:sz w:val="20"/>
        </w:rPr>
        <w:t>Lightsworn</w:t>
      </w:r>
      <w:r>
        <w:t xml:space="preserve">, </w:t>
      </w:r>
      <w:r>
        <w:rPr>
          <w:rFonts w:ascii="Consolas" w:hAnsi="Consolas"/>
          <w:color w:val="1F4D78"/>
          <w:sz w:val="20"/>
        </w:rPr>
        <w:t>Utopia</w:t>
      </w:r>
      <w:r>
        <w:t xml:space="preserve"> y </w:t>
      </w:r>
      <w:r>
        <w:rPr>
          <w:rFonts w:ascii="Consolas" w:hAnsi="Consolas"/>
          <w:color w:val="1F4D78"/>
          <w:sz w:val="20"/>
        </w:rPr>
        <w:t>Harpie</w:t>
      </w:r>
      <w:r>
        <w:t xml:space="preserve"> combinan volumen de cartas, impresiones y presencia amplia.</w:t>
      </w:r>
    </w:p>
    <w:p>
      <w:r>
        <w:rPr>
          <w:b/>
          <w:color w:val="1F4D78"/>
        </w:rPr>
        <w:t>Accion sugerida:</w:t>
      </w:r>
    </w:p>
    <w:p>
      <w:r>
        <w:t>Usar estos arquetipos como filtros prioritarios para buscar cartas destacables, manteniendo control de outliers.</w:t>
      </w:r>
    </w:p>
    <w:p>
      <w:pPr>
        <w:pStyle w:val="Heading2"/>
      </w:pPr>
      <w:r>
        <w:t>4.4 Cartas candidatas competitivas</w:t>
      </w:r>
    </w:p>
    <w:p>
      <w:r>
        <w:rPr>
          <w:b/>
          <w:color w:val="1F4D78"/>
        </w:rPr>
        <w:t>Evidencia principal: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Carta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Impresiones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Codigos set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Precio medio set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Precio maximo set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Estado TCG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Blue-Eyes White Dragon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77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68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114.49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2999.98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unlimited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Red-Eyes Black Dragon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39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72.46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920.45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unlimited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Dark Magician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59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53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52.29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797.61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unlimited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Dark Magician Girl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21.79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530.15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unlimited</w:t>
            </w:r>
          </w:p>
        </w:tc>
      </w:tr>
      <w:tr>
        <w:tc>
          <w:tcPr>
            <w:tcW w:type="dxa" w:w="39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Book of Moon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10.01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436.13</w:t>
            </w:r>
          </w:p>
        </w:tc>
        <w:tc>
          <w:tcPr>
            <w:tcW w:type="dxa" w:w="1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unlimited</w:t>
            </w:r>
          </w:p>
        </w:tc>
      </w:tr>
    </w:tbl>
    <w:p/>
    <w:p>
      <w:r>
        <w:rPr>
          <w:b/>
          <w:color w:val="1F4D78"/>
        </w:rPr>
        <w:t>Conclusion:</w:t>
      </w:r>
    </w:p>
    <w:p>
      <w:r>
        <w:t xml:space="preserve">Las candidatas competitivas combinan legalidad TCG, varias impresiones y precio medio relevante. </w:t>
      </w:r>
      <w:r>
        <w:rPr>
          <w:rFonts w:ascii="Consolas" w:hAnsi="Consolas"/>
          <w:color w:val="1F4D78"/>
          <w:sz w:val="20"/>
        </w:rPr>
        <w:t>Blue-Eyes White Dragon</w:t>
      </w:r>
      <w:r>
        <w:t xml:space="preserve">, </w:t>
      </w:r>
      <w:r>
        <w:rPr>
          <w:rFonts w:ascii="Consolas" w:hAnsi="Consolas"/>
          <w:color w:val="1F4D78"/>
          <w:sz w:val="20"/>
        </w:rPr>
        <w:t>Dark Magician</w:t>
      </w:r>
      <w:r>
        <w:t xml:space="preserve"> y </w:t>
      </w:r>
      <w:r>
        <w:rPr>
          <w:rFonts w:ascii="Consolas" w:hAnsi="Consolas"/>
          <w:color w:val="1F4D78"/>
          <w:sz w:val="20"/>
        </w:rPr>
        <w:t>Book of Moon</w:t>
      </w:r>
      <w:r>
        <w:t xml:space="preserve"> destacan por presencia y reconocimiento, aunque por motivos comerciales distintos.</w:t>
      </w:r>
    </w:p>
    <w:p>
      <w:r>
        <w:rPr>
          <w:b/>
          <w:color w:val="1F4D78"/>
        </w:rPr>
        <w:t>Accion sugerida:</w:t>
      </w:r>
    </w:p>
    <w:p>
      <w:r>
        <w:t>Pasar estas cartas al bloque prescriptivo como candidatas, no como recomendaciones finales. Deben clasificarse segun funcion: carta principal potencial, carta complementaria o carta destacada.</w:t>
      </w:r>
    </w:p>
    <w:p>
      <w:pPr>
        <w:pStyle w:val="Heading1"/>
      </w:pPr>
      <w:r>
        <w:t>5. Riesgos de interpretacion</w:t>
      </w:r>
    </w:p>
    <w:p>
      <w:pPr>
        <w:pStyle w:val="ListBullet"/>
      </w:pPr>
      <w:r>
        <w:t>Un precio alto puede depender de una unica impresion.</w:t>
      </w:r>
    </w:p>
    <w:p>
      <w:pPr>
        <w:pStyle w:val="ListBullet"/>
      </w:pPr>
      <w:r>
        <w:t>Una carta con muchas apariciones en sets puede ser muy disponible y no necesariamente cara.</w:t>
      </w:r>
    </w:p>
    <w:p>
      <w:pPr>
        <w:pStyle w:val="ListBullet"/>
      </w:pPr>
      <w:r>
        <w:t>Un arquetipo con peso estimado alto puede estar inflado por una carta extrema.</w:t>
      </w:r>
    </w:p>
    <w:p>
      <w:pPr>
        <w:pStyle w:val="ListBullet"/>
      </w:pPr>
      <w:r>
        <w:t>Los rankings de precio no sustituyen la revision de legalidad, rareza y set.</w:t>
      </w:r>
    </w:p>
    <w:p>
      <w:pPr>
        <w:pStyle w:val="ListBullet"/>
      </w:pPr>
      <w:r>
        <w:t>Los precios historicos solo deben usarse como tendencia si existen suficientes snapshots de ETL.</w:t>
      </w:r>
    </w:p>
    <w:p>
      <w:pPr>
        <w:pStyle w:val="Heading1"/>
      </w:pPr>
      <w:r>
        <w:t>6. Acciones comerciales sugeridas</w:t>
      </w:r>
    </w:p>
    <w:p>
      <w:pPr>
        <w:pStyle w:val="ListNumber"/>
      </w:pPr>
      <w:r>
        <w:t>Priorizar cartas candidatas competitivas no afectadas por outliers.</w:t>
      </w:r>
    </w:p>
    <w:p>
      <w:pPr>
        <w:pStyle w:val="ListNumber"/>
      </w:pPr>
      <w:r>
        <w:t>Usar `Blue-Eyes`, `Dark Magician`, `Lightsworn`, `Utopia` y `Harpie` como arquetipos de exploracion comercial.</w:t>
      </w:r>
    </w:p>
    <w:p>
      <w:pPr>
        <w:pStyle w:val="ListNumber"/>
      </w:pPr>
      <w:r>
        <w:t>Separar cartas premio y precios extremos antes de calcular conclusiones generales.</w:t>
      </w:r>
    </w:p>
    <w:p>
      <w:pPr>
        <w:pStyle w:val="ListNumber"/>
      </w:pPr>
      <w:r>
        <w:t>Mantener marketplace como segmentador en visuales de precio.</w:t>
      </w:r>
    </w:p>
    <w:p>
      <w:pPr>
        <w:pStyle w:val="ListNumber"/>
      </w:pPr>
      <w:r>
        <w:t>Crear reglas prescriptivas para clasificar cartas en:</w:t>
      </w:r>
    </w:p>
    <w:p>
      <w:pPr>
        <w:spacing w:after="160"/>
        <w:ind w:left="360"/>
      </w:pPr>
      <w:r>
        <w:rPr>
          <w:rFonts w:ascii="Consolas" w:hAnsi="Consolas"/>
          <w:color w:val="1F4D78"/>
          <w:sz w:val="18"/>
        </w:rPr>
        <w:t>carta principal potencial</w:t>
        <w:br/>
        <w:t>carta complementaria</w:t>
        <w:br/>
        <w:t>carta destacada comercial</w:t>
        <w:br/>
        <w:t>revisar antes de accionar</w:t>
      </w:r>
    </w:p>
    <w:p>
      <w:pPr>
        <w:pStyle w:val="Heading1"/>
      </w:pPr>
      <w:r>
        <w:t>7. Cierre</w:t>
      </w:r>
    </w:p>
    <w:p>
      <w:r>
        <w:t>El analisis descriptivo permite entender catalogo, precios, marketplaces, sets y presencia de cartas. El diagnostico explica por que ciertos valores destacan y donde existen riesgos de interpretacion.</w:t>
      </w:r>
    </w:p>
    <w:p>
      <w:r>
        <w:t>La conclusion operativa es pasar al bloque prescriptivo con una condicion: ninguna recomendacion debe salir solo de un ranking. Debe combinar valor, contexto, calidad del dato y legalidad.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conclusiones descriptivo y diagnostico</dc:title>
  <dc:subject>Proyecto SQL DB Yu-Gi-Oh</dc:subject>
  <dc:creator>Codex</dc:creator>
  <cp:keywords/>
  <dc:description>Generado desde docs/02_marco_analisis_datos/informes/informe_conclusiones_desc_diag.md.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