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de resultados del analisis Power BI</w:t>
      </w:r>
    </w:p>
    <w:p>
      <w:pPr>
        <w:jc w:val="center"/>
      </w:pPr>
      <w:r>
        <w:rPr>
          <w:color w:val="666666"/>
          <w:sz w:val="26"/>
        </w:rPr>
        <w:t>Proyecto SQL DB Yu-Gi-Oh | Resultados exportados de visuales</w:t>
      </w:r>
    </w:p>
    <w:p/>
    <w:tbl>
      <w:tblPr>
        <w:tblW w:type="dxa" w:w="9360"/>
        <w:tblLayout w:type="fixed"/>
        <w:tblLook w:firstColumn="1" w:firstRow="1" w:lastColumn="0" w:lastRow="0" w:noHBand="0" w:noVBand="1" w:val="04A0"/>
        <w:tblInd w:w="120" w:type="dxa"/>
      </w:tblPr>
      <w:tblGrid>
        <w:gridCol w:w="4680"/>
        <w:gridCol w:w="4680"/>
      </w:tblGrid>
      <w:tr>
        <w:trPr>
          <w:tblHeader w:val="true"/>
        </w:trPr>
        <w:tc>
          <w:tcPr>
            <w:tcW w:type="dxa" w:w="2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Elemento</w:t>
            </w:r>
          </w:p>
        </w:tc>
        <w:tc>
          <w:tcPr>
            <w:tcW w:type="dxa" w:w="67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Valor</w:t>
            </w:r>
          </w:p>
        </w:tc>
      </w:tr>
      <w:tr>
        <w:tc>
          <w:tcPr>
            <w:tcW w:type="dxa" w:w="2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Documento</w:t>
            </w:r>
          </w:p>
        </w:tc>
        <w:tc>
          <w:tcPr>
            <w:tcW w:type="dxa" w:w="67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Informe de analisis y resultados</w:t>
            </w:r>
          </w:p>
        </w:tc>
      </w:tr>
      <w:tr>
        <w:tc>
          <w:tcPr>
            <w:tcW w:type="dxa" w:w="2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Fuente</w:t>
            </w:r>
          </w:p>
        </w:tc>
        <w:tc>
          <w:tcPr>
            <w:tcW w:type="dxa" w:w="67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CSV exportados desde paginas 01, 02 y 03 del PBIX</w:t>
            </w:r>
          </w:p>
        </w:tc>
      </w:tr>
      <w:tr>
        <w:tc>
          <w:tcPr>
            <w:tcW w:type="dxa" w:w="2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Salida</w:t>
            </w:r>
          </w:p>
        </w:tc>
        <w:tc>
          <w:tcPr>
            <w:tcW w:type="dxa" w:w="67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power_bi\informes\informe_analisis_resultados_powerbi_yugioh.docx</w:t>
            </w:r>
          </w:p>
        </w:tc>
      </w:tr>
      <w:tr>
        <w:tc>
          <w:tcPr>
            <w:tcW w:type="dxa" w:w="2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Fecha de generacion</w:t>
            </w:r>
          </w:p>
        </w:tc>
        <w:tc>
          <w:tcPr>
            <w:tcW w:type="dxa" w:w="67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2026-07-04 11:52</w:t>
            </w:r>
          </w:p>
        </w:tc>
      </w:tr>
      <w:tr>
        <w:tc>
          <w:tcPr>
            <w:tcW w:type="dxa" w:w="2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Ultimo snapshot</w:t>
            </w:r>
          </w:p>
        </w:tc>
        <w:tc>
          <w:tcPr>
            <w:tcW w:type="dxa" w:w="67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2026-07-04 00:00:00</w:t>
            </w:r>
          </w:p>
        </w:tc>
      </w:tr>
    </w:tbl>
    <w:p>
      <w:pPr>
        <w:pStyle w:val="Heading1"/>
      </w:pPr>
      <w:r>
        <w:t>1. Resumen ejecutivo</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EAF3FF"/>
          </w:tcPr>
          <w:p>
            <w:pPr>
              <w:spacing w:after="0" w:line="252" w:lineRule="auto"/>
            </w:pPr>
            <w:r>
              <w:rPr>
                <w:b/>
                <w:color w:val="1F4D78"/>
                <w:sz w:val="18"/>
              </w:rPr>
              <w:t>Hallazgo central: el modelo ya permite separar tres lecturas: cobertura general del catalogo, valor descriptivo por carta/marketplace/set y diagnostico por rareza o presencia en sets.</w:t>
            </w:r>
          </w:p>
        </w:tc>
      </w:tr>
    </w:tbl>
    <w:tbl>
      <w:tblPr>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23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Indicador</w:t>
            </w:r>
          </w:p>
        </w:tc>
        <w:tc>
          <w:tcPr>
            <w:tcW w:type="dxa" w:w="2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Resultado</w:t>
            </w:r>
          </w:p>
        </w:tc>
        <w:tc>
          <w:tcPr>
            <w:tcW w:type="dxa" w:w="44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Lectura</w:t>
            </w:r>
          </w:p>
        </w:tc>
      </w:tr>
      <w:tr>
        <w:tc>
          <w:tcPr>
            <w:tcW w:type="dxa" w:w="23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Cartas</w:t>
            </w:r>
          </w:p>
        </w:tc>
        <w:tc>
          <w:tcPr>
            <w:tcW w:type="dxa" w:w="2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14,438</w:t>
            </w:r>
          </w:p>
        </w:tc>
        <w:tc>
          <w:tcPr>
            <w:tcW w:type="dxa" w:w="44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Catalogo amplio; suficiente para rankings y segmentaciones.</w:t>
            </w:r>
          </w:p>
        </w:tc>
      </w:tr>
      <w:tr>
        <w:tc>
          <w:tcPr>
            <w:tcW w:type="dxa" w:w="23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Sets</w:t>
            </w:r>
          </w:p>
        </w:tc>
        <w:tc>
          <w:tcPr>
            <w:tcW w:type="dxa" w:w="2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1,015</w:t>
            </w:r>
          </w:p>
        </w:tc>
        <w:tc>
          <w:tcPr>
            <w:tcW w:type="dxa" w:w="44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Base amplia para analizar reimpresiones y valor por set.</w:t>
            </w:r>
          </w:p>
        </w:tc>
      </w:tr>
      <w:tr>
        <w:tc>
          <w:tcPr>
            <w:tcW w:type="dxa" w:w="23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Rarezas tecnicas</w:t>
            </w:r>
          </w:p>
        </w:tc>
        <w:tc>
          <w:tcPr>
            <w:tcW w:type="dxa" w:w="2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43,759</w:t>
            </w:r>
          </w:p>
        </w:tc>
        <w:tc>
          <w:tcPr>
            <w:tcW w:type="dxa" w:w="44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Agrupadas en 47 nombres de rareza.</w:t>
            </w:r>
          </w:p>
        </w:tc>
      </w:tr>
      <w:tr>
        <w:tc>
          <w:tcPr>
            <w:tcW w:type="dxa" w:w="23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Snapshots</w:t>
            </w:r>
          </w:p>
        </w:tc>
        <w:tc>
          <w:tcPr>
            <w:tcW w:type="dxa" w:w="2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11</w:t>
            </w:r>
          </w:p>
        </w:tc>
        <w:tc>
          <w:tcPr>
            <w:tcW w:type="dxa" w:w="44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Hay base inicial para historico, aunque debe validarse granularidad temporal.</w:t>
            </w:r>
          </w:p>
        </w:tc>
      </w:tr>
      <w:tr>
        <w:tc>
          <w:tcPr>
            <w:tcW w:type="dxa" w:w="23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Marketplace con mayor precio medio</w:t>
            </w:r>
          </w:p>
        </w:tc>
        <w:tc>
          <w:tcPr>
            <w:tcW w:type="dxa" w:w="2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eBay ($4.56)</w:t>
            </w:r>
          </w:p>
        </w:tc>
        <w:tc>
          <w:tcPr>
            <w:tcW w:type="dxa" w:w="44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Senal descriptiva; no implica mejor oportunidad.</w:t>
            </w:r>
          </w:p>
        </w:tc>
      </w:tr>
      <w:tr>
        <w:tc>
          <w:tcPr>
            <w:tcW w:type="dxa" w:w="23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Carta con mayor precio medio</w:t>
            </w:r>
          </w:p>
        </w:tc>
        <w:tc>
          <w:tcPr>
            <w:tcW w:type="dxa" w:w="2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Blood Mefist ($933.73)</w:t>
            </w:r>
          </w:p>
        </w:tc>
        <w:tc>
          <w:tcPr>
            <w:tcW w:type="dxa" w:w="44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Candidata a revision por posible outlier o carta premio.</w:t>
            </w:r>
          </w:p>
        </w:tc>
      </w:tr>
      <w:tr>
        <w:tc>
          <w:tcPr>
            <w:tcW w:type="dxa" w:w="23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Rareza con mayor mediana</w:t>
            </w:r>
          </w:p>
        </w:tc>
        <w:tc>
          <w:tcPr>
            <w:tcW w:type="dxa" w:w="2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European debut ($7.99)</w:t>
            </w:r>
          </w:p>
        </w:tc>
        <w:tc>
          <w:tcPr>
            <w:tcW w:type="dxa" w:w="44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Senal diagnostica de rarezas asociadas a precios superiores.</w:t>
            </w:r>
          </w:p>
        </w:tc>
      </w:tr>
      <w:tr>
        <w:tc>
          <w:tcPr>
            <w:tcW w:type="dxa" w:w="23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Carta con mas sets</w:t>
            </w:r>
          </w:p>
        </w:tc>
        <w:tc>
          <w:tcPr>
            <w:tcW w:type="dxa" w:w="2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Blue-Eyes White Dragon (60 sets)</w:t>
            </w:r>
          </w:p>
        </w:tc>
        <w:tc>
          <w:tcPr>
            <w:tcW w:type="dxa" w:w="44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Presencia alta: reimpresion, popularidad o disponibilidad historica.</w:t>
            </w:r>
          </w:p>
        </w:tc>
      </w:tr>
    </w:tbl>
    <w:p>
      <w:pPr>
        <w:pStyle w:val="Heading1"/>
      </w:pPr>
      <w:r>
        <w:t>2. Fuente y metodologia</w:t>
      </w:r>
    </w:p>
    <w:p>
      <w:r>
        <w:t>Este informe usa los CSV exportados desde los visuales de Power BI. Por tanto, analiza el resultado observado en el dashboard, no reconstruye el modelo completo desde MySQL. La lectura mantiene la secuencia: visual, dato observado, interpretacion, decision o cautela.</w:t>
      </w:r>
    </w:p>
    <w:tbl>
      <w:tblPr>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1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Pagina</w:t>
            </w:r>
          </w:p>
        </w:tc>
        <w:tc>
          <w:tcPr>
            <w:tcW w:type="dxa" w:w="39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Recursos usados</w:t>
            </w:r>
          </w:p>
        </w:tc>
        <w:tc>
          <w:tcPr>
            <w:tcW w:type="dxa" w:w="35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Finalidad</w:t>
            </w:r>
          </w:p>
        </w:tc>
      </w:tr>
      <w:tr>
        <w:tc>
          <w:tcPr>
            <w:tcW w:type="dxa" w:w="1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01_vista_general</w:t>
            </w:r>
          </w:p>
        </w:tc>
        <w:tc>
          <w:tcPr>
            <w:tcW w:type="dxa" w:w="39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CSV de tarjetas, marketplaces, rarezas y captura PNG</w:t>
            </w:r>
          </w:p>
        </w:tc>
        <w:tc>
          <w:tcPr>
            <w:tcW w:type="dxa" w:w="35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Describir cobertura del modelo.</w:t>
            </w:r>
          </w:p>
        </w:tc>
      </w:tr>
      <w:tr>
        <w:tc>
          <w:tcPr>
            <w:tcW w:type="dxa" w:w="1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02_analisis_descriptivo</w:t>
            </w:r>
          </w:p>
        </w:tc>
        <w:tc>
          <w:tcPr>
            <w:tcW w:type="dxa" w:w="39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CSV de precios, rankings y valor por set; captura PNG</w:t>
            </w:r>
          </w:p>
        </w:tc>
        <w:tc>
          <w:tcPr>
            <w:tcW w:type="dxa" w:w="35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Identificar concentraciones de valor.</w:t>
            </w:r>
          </w:p>
        </w:tc>
      </w:tr>
      <w:tr>
        <w:tc>
          <w:tcPr>
            <w:tcW w:type="dxa" w:w="1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03_analisis_diagnostico</w:t>
            </w:r>
          </w:p>
        </w:tc>
        <w:tc>
          <w:tcPr>
            <w:tcW w:type="dxa" w:w="39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CSV de rarezas, sets por carta y marketplace; captura PNG</w:t>
            </w:r>
          </w:p>
        </w:tc>
        <w:tc>
          <w:tcPr>
            <w:tcW w:type="dxa" w:w="35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Explicar posibles causas o patrones.</w:t>
            </w:r>
          </w:p>
        </w:tc>
      </w:tr>
    </w:tbl>
    <w:p>
      <w:pPr>
        <w:pStyle w:val="Heading1"/>
      </w:pPr>
      <w:r>
        <w:t>3. Vista general</w:t>
      </w:r>
    </w:p>
    <w:p>
      <w:r>
        <w:drawing>
          <wp:inline xmlns:a="http://schemas.openxmlformats.org/drawingml/2006/main" xmlns:pic="http://schemas.openxmlformats.org/drawingml/2006/picture">
            <wp:extent cx="5760720" cy="3257786"/>
            <wp:docPr id="1" name="Picture 1"/>
            <wp:cNvGraphicFramePr>
              <a:graphicFrameLocks noChangeAspect="1"/>
            </wp:cNvGraphicFramePr>
            <a:graphic>
              <a:graphicData uri="http://schemas.openxmlformats.org/drawingml/2006/picture">
                <pic:pic>
                  <pic:nvPicPr>
                    <pic:cNvPr id="0" name="01_vista_general.png"/>
                    <pic:cNvPicPr/>
                  </pic:nvPicPr>
                  <pic:blipFill>
                    <a:blip r:embed="rId10"/>
                    <a:stretch>
                      <a:fillRect/>
                    </a:stretch>
                  </pic:blipFill>
                  <pic:spPr>
                    <a:xfrm>
                      <a:off x="0" y="0"/>
                      <a:ext cx="5760720" cy="3257786"/>
                    </a:xfrm>
                    <a:prstGeom prst="rect"/>
                  </pic:spPr>
                </pic:pic>
              </a:graphicData>
            </a:graphic>
          </wp:inline>
        </w:drawing>
      </w:r>
    </w:p>
    <w:p>
      <w:pPr>
        <w:jc w:val="center"/>
      </w:pPr>
      <w:r>
        <w:rPr>
          <w:color w:val="666666"/>
          <w:sz w:val="18"/>
        </w:rPr>
        <w:t>Captura de la pagina 01_vista_general.</w:t>
      </w:r>
    </w:p>
    <w:p>
      <w:pPr>
        <w:pStyle w:val="Heading2"/>
      </w:pPr>
      <w:r>
        <w:t>3.1 Datos observados</w:t>
      </w:r>
    </w:p>
    <w:tbl>
      <w:tblPr>
        <w:tblW w:type="dxa" w:w="9360"/>
        <w:tblLayout w:type="fixed"/>
        <w:tblLook w:firstColumn="1" w:firstRow="1" w:lastColumn="0" w:lastRow="0" w:noHBand="0" w:noVBand="1" w:val="04A0"/>
        <w:tblInd w:w="120" w:type="dxa"/>
      </w:tblPr>
      <w:tblGrid>
        <w:gridCol w:w="4680"/>
        <w:gridCol w:w="4680"/>
      </w:tblGrid>
      <w:tr>
        <w:trPr>
          <w:tblHeader w:val="true"/>
        </w:trPr>
        <w:tc>
          <w:tcPr>
            <w:tcW w:type="dxa" w:w="3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Metrica</w:t>
            </w:r>
          </w:p>
        </w:tc>
        <w:tc>
          <w:tcPr>
            <w:tcW w:type="dxa" w:w="57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Valor</w:t>
            </w:r>
          </w:p>
        </w:tc>
      </w:tr>
      <w:tr>
        <w:tc>
          <w:tcPr>
            <w:tcW w:type="dxa" w:w="3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Volumen de cartas</w:t>
            </w:r>
          </w:p>
        </w:tc>
        <w:tc>
          <w:tcPr>
            <w:tcW w:type="dxa" w:w="57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14,438</w:t>
            </w:r>
          </w:p>
        </w:tc>
      </w:tr>
      <w:tr>
        <w:tc>
          <w:tcPr>
            <w:tcW w:type="dxa" w:w="3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Volumen de sets</w:t>
            </w:r>
          </w:p>
        </w:tc>
        <w:tc>
          <w:tcPr>
            <w:tcW w:type="dxa" w:w="57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1,015</w:t>
            </w:r>
          </w:p>
        </w:tc>
      </w:tr>
      <w:tr>
        <w:tc>
          <w:tcPr>
            <w:tcW w:type="dxa" w:w="3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Filas tecnicas de rareza</w:t>
            </w:r>
          </w:p>
        </w:tc>
        <w:tc>
          <w:tcPr>
            <w:tcW w:type="dxa" w:w="57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43,759</w:t>
            </w:r>
          </w:p>
        </w:tc>
      </w:tr>
      <w:tr>
        <w:tc>
          <w:tcPr>
            <w:tcW w:type="dxa" w:w="3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Nombres de rareza</w:t>
            </w:r>
          </w:p>
        </w:tc>
        <w:tc>
          <w:tcPr>
            <w:tcW w:type="dxa" w:w="57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47</w:t>
            </w:r>
          </w:p>
        </w:tc>
      </w:tr>
      <w:tr>
        <w:tc>
          <w:tcPr>
            <w:tcW w:type="dxa" w:w="3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Total snapshots</w:t>
            </w:r>
          </w:p>
        </w:tc>
        <w:tc>
          <w:tcPr>
            <w:tcW w:type="dxa" w:w="57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11</w:t>
            </w:r>
          </w:p>
        </w:tc>
      </w:tr>
      <w:tr>
        <w:tc>
          <w:tcPr>
            <w:tcW w:type="dxa" w:w="3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Ultimo snapshot</w:t>
            </w:r>
          </w:p>
        </w:tc>
        <w:tc>
          <w:tcPr>
            <w:tcW w:type="dxa" w:w="57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2026-07-04 00:00:00</w:t>
            </w:r>
          </w:p>
        </w:tc>
      </w:tr>
    </w:tbl>
    <w:p>
      <w:pPr>
        <w:pStyle w:val="Heading2"/>
      </w:pPr>
      <w:r>
        <w:t>3.2 Interpretacion</w:t>
      </w:r>
    </w:p>
    <w:p>
      <w:r>
        <w:t>El modelo contiene 14,438 cartas y 1,015 sets, volumen suficiente para analisis de catalogo, precios y reimpresiones. La diferencia entre filas tecnicas de rareza (43,759) y nombres de rareza (47) indica que la rareza debe tratarse con grano controlado: una etiqueta puede repetirse por set, codigo o aparicion.</w:t>
      </w:r>
    </w:p>
    <w:p>
      <w:r>
        <w:t>El historico muestra 11 snapshots y ultimo corte 2026-07-04 00:00:00. Esto permite iniciar lecturas temporales, pero todavia exige cautela antes de hablar de tendencia robusta.</w:t>
      </w:r>
    </w:p>
    <w:p>
      <w:pPr>
        <w:pStyle w:val="Heading2"/>
      </w:pPr>
      <w:r>
        <w:t>3.3 Marketplaces</w:t>
      </w:r>
    </w:p>
    <w:tbl>
      <w:tblPr>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28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Marketplace</w:t>
            </w:r>
          </w:p>
        </w:tc>
        <w:tc>
          <w:tcPr>
            <w:tcW w:type="dxa" w:w="328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Region</w:t>
            </w:r>
          </w:p>
        </w:tc>
        <w:tc>
          <w:tcPr>
            <w:tcW w:type="dxa" w:w="328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Moneda</w:t>
            </w:r>
          </w:p>
        </w:tc>
      </w:tr>
      <w:tr>
        <w:tc>
          <w:tcPr>
            <w:tcW w:type="dxa" w:w="28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cardmarket</w:t>
            </w:r>
          </w:p>
        </w:tc>
        <w:tc>
          <w:tcPr>
            <w:tcW w:type="dxa" w:w="328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Europe</w:t>
            </w:r>
          </w:p>
        </w:tc>
        <w:tc>
          <w:tcPr>
            <w:tcW w:type="dxa" w:w="328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EUR</w:t>
            </w:r>
          </w:p>
        </w:tc>
      </w:tr>
      <w:tr>
        <w:tc>
          <w:tcPr>
            <w:tcW w:type="dxa" w:w="28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amazon</w:t>
            </w:r>
          </w:p>
        </w:tc>
        <w:tc>
          <w:tcPr>
            <w:tcW w:type="dxa" w:w="328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Global</w:t>
            </w:r>
          </w:p>
        </w:tc>
        <w:tc>
          <w:tcPr>
            <w:tcW w:type="dxa" w:w="328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USD</w:t>
            </w:r>
          </w:p>
        </w:tc>
      </w:tr>
      <w:tr>
        <w:tc>
          <w:tcPr>
            <w:tcW w:type="dxa" w:w="28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ebay</w:t>
            </w:r>
          </w:p>
        </w:tc>
        <w:tc>
          <w:tcPr>
            <w:tcW w:type="dxa" w:w="328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Global</w:t>
            </w:r>
          </w:p>
        </w:tc>
        <w:tc>
          <w:tcPr>
            <w:tcW w:type="dxa" w:w="328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USD</w:t>
            </w:r>
          </w:p>
        </w:tc>
      </w:tr>
      <w:tr>
        <w:tc>
          <w:tcPr>
            <w:tcW w:type="dxa" w:w="28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coolstuffinc</w:t>
            </w:r>
          </w:p>
        </w:tc>
        <w:tc>
          <w:tcPr>
            <w:tcW w:type="dxa" w:w="328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United States</w:t>
            </w:r>
          </w:p>
        </w:tc>
        <w:tc>
          <w:tcPr>
            <w:tcW w:type="dxa" w:w="328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USD</w:t>
            </w:r>
          </w:p>
        </w:tc>
      </w:tr>
      <w:tr>
        <w:tc>
          <w:tcPr>
            <w:tcW w:type="dxa" w:w="28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tcgplayer</w:t>
            </w:r>
          </w:p>
        </w:tc>
        <w:tc>
          <w:tcPr>
            <w:tcW w:type="dxa" w:w="328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United States</w:t>
            </w:r>
          </w:p>
        </w:tc>
        <w:tc>
          <w:tcPr>
            <w:tcW w:type="dxa" w:w="328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USD</w:t>
            </w:r>
          </w:p>
        </w:tc>
      </w:tr>
    </w:tbl>
    <w:tbl>
      <w:tblPr>
        <w:tblW w:type="dxa" w:w="9360"/>
        <w:tblLayout w:type="fixed"/>
        <w:tblLook w:firstColumn="1" w:firstRow="1" w:lastColumn="0" w:lastRow="0" w:noHBand="0" w:noVBand="1" w:val="04A0"/>
        <w:tblInd w:w="120" w:type="dxa"/>
      </w:tblPr>
      <w:tblGrid>
        <w:gridCol w:w="9360"/>
      </w:tblGrid>
      <w:tr>
        <w:trPr>
          <w:tblHeader w:val="true"/>
        </w:trPr>
        <w:tc>
          <w:tcPr>
            <w:tcW w:type="dxa" w:w="93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FF6E5"/>
          </w:tcPr>
          <w:p>
            <w:pPr>
              <w:spacing w:after="0" w:line="252" w:lineRule="auto"/>
            </w:pPr>
            <w:r>
              <w:rPr>
                <w:b/>
                <w:color w:val="1F4D78"/>
                <w:sz w:val="18"/>
              </w:rPr>
              <w:t>Decision de lectura: no mezclar Cardmarket con fuentes USD sin conversion. El informe de resultados de precios descriptivos se centra en USD cuando el visual asi lo exporta.</w:t>
            </w:r>
          </w:p>
        </w:tc>
      </w:tr>
    </w:tbl>
    <w:p>
      <w:pPr>
        <w:pStyle w:val="Heading1"/>
      </w:pPr>
      <w:r>
        <w:t>4. Analisis descriptivo</w:t>
      </w:r>
    </w:p>
    <w:p>
      <w:r>
        <w:drawing>
          <wp:inline xmlns:a="http://schemas.openxmlformats.org/drawingml/2006/main" xmlns:pic="http://schemas.openxmlformats.org/drawingml/2006/picture">
            <wp:extent cx="5760720" cy="3210247"/>
            <wp:docPr id="2" name="Picture 2"/>
            <wp:cNvGraphicFramePr>
              <a:graphicFrameLocks noChangeAspect="1"/>
            </wp:cNvGraphicFramePr>
            <a:graphic>
              <a:graphicData uri="http://schemas.openxmlformats.org/drawingml/2006/picture">
                <pic:pic>
                  <pic:nvPicPr>
                    <pic:cNvPr id="0" name="02_analisis_descriptivo.png"/>
                    <pic:cNvPicPr/>
                  </pic:nvPicPr>
                  <pic:blipFill>
                    <a:blip r:embed="rId11"/>
                    <a:stretch>
                      <a:fillRect/>
                    </a:stretch>
                  </pic:blipFill>
                  <pic:spPr>
                    <a:xfrm>
                      <a:off x="0" y="0"/>
                      <a:ext cx="5760720" cy="3210247"/>
                    </a:xfrm>
                    <a:prstGeom prst="rect"/>
                  </pic:spPr>
                </pic:pic>
              </a:graphicData>
            </a:graphic>
          </wp:inline>
        </w:drawing>
      </w:r>
    </w:p>
    <w:p>
      <w:pPr>
        <w:jc w:val="center"/>
      </w:pPr>
      <w:r>
        <w:rPr>
          <w:color w:val="666666"/>
          <w:sz w:val="18"/>
        </w:rPr>
        <w:t>Captura de la pagina 02_Analisis_descriptivo.</w:t>
      </w:r>
    </w:p>
    <w:p>
      <w:pPr>
        <w:pStyle w:val="Heading2"/>
      </w:pPr>
      <w:r>
        <w:t>4.1 Precio medio global por marketplace</w:t>
      </w:r>
    </w:p>
    <w:tbl>
      <w:tblPr>
        <w:tblW w:type="dxa" w:w="9360"/>
        <w:tblLayout w:type="fixed"/>
        <w:tblLook w:firstColumn="1" w:firstRow="1" w:lastColumn="0" w:lastRow="0" w:noHBand="0" w:noVBand="1" w:val="04A0"/>
        <w:tblInd w:w="120" w:type="dxa"/>
      </w:tblPr>
      <w:tblGrid>
        <w:gridCol w:w="4680"/>
        <w:gridCol w:w="4680"/>
      </w:tblGrid>
      <w:tr>
        <w:trPr>
          <w:tblHeader w:val="true"/>
        </w:trPr>
        <w:tc>
          <w:tcPr>
            <w:tcW w:type="dxa" w:w="42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Marketplace</w:t>
            </w:r>
          </w:p>
        </w:tc>
        <w:tc>
          <w:tcPr>
            <w:tcW w:type="dxa" w:w="5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Precio medio USD</w:t>
            </w:r>
          </w:p>
        </w:tc>
      </w:tr>
      <w:tr>
        <w:tc>
          <w:tcPr>
            <w:tcW w:type="dxa" w:w="42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eBay</w:t>
            </w:r>
          </w:p>
        </w:tc>
        <w:tc>
          <w:tcPr>
            <w:tcW w:type="dxa" w:w="5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$4.56</w:t>
            </w:r>
          </w:p>
        </w:tc>
      </w:tr>
      <w:tr>
        <w:tc>
          <w:tcPr>
            <w:tcW w:type="dxa" w:w="42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Amazon</w:t>
            </w:r>
          </w:p>
        </w:tc>
        <w:tc>
          <w:tcPr>
            <w:tcW w:type="dxa" w:w="5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$4.28</w:t>
            </w:r>
          </w:p>
        </w:tc>
      </w:tr>
      <w:tr>
        <w:tc>
          <w:tcPr>
            <w:tcW w:type="dxa" w:w="42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CoolStuffInc</w:t>
            </w:r>
          </w:p>
        </w:tc>
        <w:tc>
          <w:tcPr>
            <w:tcW w:type="dxa" w:w="5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$1.45</w:t>
            </w:r>
          </w:p>
        </w:tc>
      </w:tr>
      <w:tr>
        <w:tc>
          <w:tcPr>
            <w:tcW w:type="dxa" w:w="42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TCGplayer</w:t>
            </w:r>
          </w:p>
        </w:tc>
        <w:tc>
          <w:tcPr>
            <w:tcW w:type="dxa" w:w="5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$1.21</w:t>
            </w:r>
          </w:p>
        </w:tc>
      </w:tr>
    </w:tbl>
    <w:p>
      <w:r>
        <w:t>eBay lidera el precio medio global exportado con $4.56. La lectura es descriptiva: indica mayor precio medio en el conjunto filtrado, no una decision de compra.</w:t>
      </w:r>
    </w:p>
    <w:p>
      <w:pPr>
        <w:pStyle w:val="Heading2"/>
      </w:pPr>
      <w:r>
        <w:t>4.2 Cartas con mayor precio medio</w:t>
      </w:r>
    </w:p>
    <w:tbl>
      <w:tblPr>
        <w:tblW w:type="dxa" w:w="9360"/>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34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Carta</w:t>
            </w:r>
          </w:p>
        </w:tc>
        <w:tc>
          <w:tcPr>
            <w:tcW w:type="dxa" w:w="1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Precio medio</w:t>
            </w:r>
          </w:p>
        </w:tc>
        <w:tc>
          <w:tcPr>
            <w:tcW w:type="dxa" w:w="1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eBay</w:t>
            </w:r>
          </w:p>
        </w:tc>
        <w:tc>
          <w:tcPr>
            <w:tcW w:type="dxa" w:w="2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TCGplayer</w:t>
            </w:r>
          </w:p>
        </w:tc>
      </w:tr>
      <w:tr>
        <w:tc>
          <w:tcPr>
            <w:tcW w:type="dxa" w:w="34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Blood Mefist</w:t>
            </w:r>
          </w:p>
        </w:tc>
        <w:tc>
          <w:tcPr>
            <w:tcW w:type="dxa" w:w="1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$933.73</w:t>
            </w:r>
          </w:p>
        </w:tc>
        <w:tc>
          <w:tcPr>
            <w:tcW w:type="dxa" w:w="1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$999.99</w:t>
            </w:r>
          </w:p>
        </w:tc>
        <w:tc>
          <w:tcPr>
            <w:tcW w:type="dxa" w:w="2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$1,800.00</w:t>
            </w:r>
          </w:p>
        </w:tc>
      </w:tr>
      <w:tr>
        <w:tc>
          <w:tcPr>
            <w:tcW w:type="dxa" w:w="34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Ten Thousand Dragon</w:t>
            </w:r>
          </w:p>
        </w:tc>
        <w:tc>
          <w:tcPr>
            <w:tcW w:type="dxa" w:w="1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$679.33</w:t>
            </w:r>
          </w:p>
        </w:tc>
        <w:tc>
          <w:tcPr>
            <w:tcW w:type="dxa" w:w="1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$999.99</w:t>
            </w:r>
          </w:p>
        </w:tc>
        <w:tc>
          <w:tcPr>
            <w:tcW w:type="dxa" w:w="2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$716.33</w:t>
            </w:r>
          </w:p>
        </w:tc>
      </w:tr>
      <w:tr>
        <w:tc>
          <w:tcPr>
            <w:tcW w:type="dxa" w:w="34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Holactie the Creator of Light</w:t>
            </w:r>
          </w:p>
        </w:tc>
        <w:tc>
          <w:tcPr>
            <w:tcW w:type="dxa" w:w="1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$506.43</w:t>
            </w:r>
          </w:p>
        </w:tc>
        <w:tc>
          <w:tcPr>
            <w:tcW w:type="dxa" w:w="1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$999.99</w:t>
            </w:r>
          </w:p>
        </w:tc>
        <w:tc>
          <w:tcPr>
            <w:tcW w:type="dxa" w:w="2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$0.00</w:t>
            </w:r>
          </w:p>
        </w:tc>
      </w:tr>
      <w:tr>
        <w:tc>
          <w:tcPr>
            <w:tcW w:type="dxa" w:w="34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Doriado</w:t>
            </w:r>
          </w:p>
        </w:tc>
        <w:tc>
          <w:tcPr>
            <w:tcW w:type="dxa" w:w="1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$501.51</w:t>
            </w:r>
          </w:p>
        </w:tc>
        <w:tc>
          <w:tcPr>
            <w:tcW w:type="dxa" w:w="1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$999.99</w:t>
            </w:r>
          </w:p>
        </w:tc>
        <w:tc>
          <w:tcPr>
            <w:tcW w:type="dxa" w:w="2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$0.00</w:t>
            </w:r>
          </w:p>
        </w:tc>
      </w:tr>
      <w:tr>
        <w:tc>
          <w:tcPr>
            <w:tcW w:type="dxa" w:w="34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Get Your Game On!</w:t>
            </w:r>
          </w:p>
        </w:tc>
        <w:tc>
          <w:tcPr>
            <w:tcW w:type="dxa" w:w="1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$456.75</w:t>
            </w:r>
          </w:p>
        </w:tc>
        <w:tc>
          <w:tcPr>
            <w:tcW w:type="dxa" w:w="1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$299.99</w:t>
            </w:r>
          </w:p>
        </w:tc>
        <w:tc>
          <w:tcPr>
            <w:tcW w:type="dxa" w:w="2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$349.98</w:t>
            </w:r>
          </w:p>
        </w:tc>
      </w:tr>
      <w:tr>
        <w:tc>
          <w:tcPr>
            <w:tcW w:type="dxa" w:w="34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Magicians of Bonds and Unity</w:t>
            </w:r>
          </w:p>
        </w:tc>
        <w:tc>
          <w:tcPr>
            <w:tcW w:type="dxa" w:w="1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$428.38</w:t>
            </w:r>
          </w:p>
        </w:tc>
        <w:tc>
          <w:tcPr>
            <w:tcW w:type="dxa" w:w="1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$830.00</w:t>
            </w:r>
          </w:p>
        </w:tc>
        <w:tc>
          <w:tcPr>
            <w:tcW w:type="dxa" w:w="2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$55.16</w:t>
            </w:r>
          </w:p>
        </w:tc>
      </w:tr>
      <w:tr>
        <w:tc>
          <w:tcPr>
            <w:tcW w:type="dxa" w:w="34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Testament of the Arcane Lords</w:t>
            </w:r>
          </w:p>
        </w:tc>
        <w:tc>
          <w:tcPr>
            <w:tcW w:type="dxa" w:w="1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$380.48</w:t>
            </w:r>
          </w:p>
        </w:tc>
        <w:tc>
          <w:tcPr>
            <w:tcW w:type="dxa" w:w="1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$674.99</w:t>
            </w:r>
          </w:p>
        </w:tc>
        <w:tc>
          <w:tcPr>
            <w:tcW w:type="dxa" w:w="2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$0.00</w:t>
            </w:r>
          </w:p>
        </w:tc>
      </w:tr>
      <w:tr>
        <w:tc>
          <w:tcPr>
            <w:tcW w:type="dxa" w:w="34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Anotherverse Solaria</w:t>
            </w:r>
          </w:p>
        </w:tc>
        <w:tc>
          <w:tcPr>
            <w:tcW w:type="dxa" w:w="1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$370.02</w:t>
            </w:r>
          </w:p>
        </w:tc>
        <w:tc>
          <w:tcPr>
            <w:tcW w:type="dxa" w:w="1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$0.00</w:t>
            </w:r>
          </w:p>
        </w:tc>
        <w:tc>
          <w:tcPr>
            <w:tcW w:type="dxa" w:w="2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$370.02</w:t>
            </w:r>
          </w:p>
        </w:tc>
      </w:tr>
      <w:tr>
        <w:tc>
          <w:tcPr>
            <w:tcW w:type="dxa" w:w="34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Anotherverse Gluttonia</w:t>
            </w:r>
          </w:p>
        </w:tc>
        <w:tc>
          <w:tcPr>
            <w:tcW w:type="dxa" w:w="1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$364.96</w:t>
            </w:r>
          </w:p>
        </w:tc>
        <w:tc>
          <w:tcPr>
            <w:tcW w:type="dxa" w:w="1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$0.00</w:t>
            </w:r>
          </w:p>
        </w:tc>
        <w:tc>
          <w:tcPr>
            <w:tcW w:type="dxa" w:w="2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$364.96</w:t>
            </w:r>
          </w:p>
        </w:tc>
      </w:tr>
      <w:tr>
        <w:tc>
          <w:tcPr>
            <w:tcW w:type="dxa" w:w="34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Anotherverse Dragon</w:t>
            </w:r>
          </w:p>
        </w:tc>
        <w:tc>
          <w:tcPr>
            <w:tcW w:type="dxa" w:w="1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$349.42</w:t>
            </w:r>
          </w:p>
        </w:tc>
        <w:tc>
          <w:tcPr>
            <w:tcW w:type="dxa" w:w="1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$0.00</w:t>
            </w:r>
          </w:p>
        </w:tc>
        <w:tc>
          <w:tcPr>
            <w:tcW w:type="dxa" w:w="2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$349.42</w:t>
            </w:r>
          </w:p>
        </w:tc>
      </w:tr>
    </w:tbl>
    <w:p>
      <w:r>
        <w:t>La carta con mayor precio medio es Blood Mefist ($933.73). El ranking concentra cartas con precios extremos, por lo que debe usarse como lista de revision y no como recomendacion automatica.</w:t>
      </w:r>
    </w:p>
    <w:p>
      <w:pPr>
        <w:pStyle w:val="Heading2"/>
      </w:pPr>
      <w:r>
        <w:t>4.3 Ranking carta-marketplace</w:t>
      </w:r>
    </w:p>
    <w:tbl>
      <w:tblPr>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43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Carta</w:t>
            </w:r>
          </w:p>
        </w:tc>
        <w:tc>
          <w:tcPr>
            <w:tcW w:type="dxa" w:w="23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Marketplace</w:t>
            </w:r>
          </w:p>
        </w:tc>
        <w:tc>
          <w:tcPr>
            <w:tcW w:type="dxa" w:w="27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Precio medio USD</w:t>
            </w:r>
          </w:p>
        </w:tc>
      </w:tr>
      <w:tr>
        <w:tc>
          <w:tcPr>
            <w:tcW w:type="dxa" w:w="43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Blood Mefist</w:t>
            </w:r>
          </w:p>
        </w:tc>
        <w:tc>
          <w:tcPr>
            <w:tcW w:type="dxa" w:w="23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tcgplayer</w:t>
            </w:r>
          </w:p>
        </w:tc>
        <w:tc>
          <w:tcPr>
            <w:tcW w:type="dxa" w:w="27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$1,800.00</w:t>
            </w:r>
          </w:p>
        </w:tc>
      </w:tr>
      <w:tr>
        <w:tc>
          <w:tcPr>
            <w:tcW w:type="dxa" w:w="43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Blood Mefist</w:t>
            </w:r>
          </w:p>
        </w:tc>
        <w:tc>
          <w:tcPr>
            <w:tcW w:type="dxa" w:w="23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ebay</w:t>
            </w:r>
          </w:p>
        </w:tc>
        <w:tc>
          <w:tcPr>
            <w:tcW w:type="dxa" w:w="27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$999.99</w:t>
            </w:r>
          </w:p>
        </w:tc>
      </w:tr>
      <w:tr>
        <w:tc>
          <w:tcPr>
            <w:tcW w:type="dxa" w:w="43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Doriado</w:t>
            </w:r>
          </w:p>
        </w:tc>
        <w:tc>
          <w:tcPr>
            <w:tcW w:type="dxa" w:w="23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ebay</w:t>
            </w:r>
          </w:p>
        </w:tc>
        <w:tc>
          <w:tcPr>
            <w:tcW w:type="dxa" w:w="27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$999.99</w:t>
            </w:r>
          </w:p>
        </w:tc>
      </w:tr>
      <w:tr>
        <w:tc>
          <w:tcPr>
            <w:tcW w:type="dxa" w:w="43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Holactie the Creator of Light</w:t>
            </w:r>
          </w:p>
        </w:tc>
        <w:tc>
          <w:tcPr>
            <w:tcW w:type="dxa" w:w="23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ebay</w:t>
            </w:r>
          </w:p>
        </w:tc>
        <w:tc>
          <w:tcPr>
            <w:tcW w:type="dxa" w:w="27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$999.99</w:t>
            </w:r>
          </w:p>
        </w:tc>
      </w:tr>
      <w:tr>
        <w:tc>
          <w:tcPr>
            <w:tcW w:type="dxa" w:w="43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Ten Thousand Dragon</w:t>
            </w:r>
          </w:p>
        </w:tc>
        <w:tc>
          <w:tcPr>
            <w:tcW w:type="dxa" w:w="23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coolstuffinc</w:t>
            </w:r>
          </w:p>
        </w:tc>
        <w:tc>
          <w:tcPr>
            <w:tcW w:type="dxa" w:w="27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$999.99</w:t>
            </w:r>
          </w:p>
        </w:tc>
      </w:tr>
      <w:tr>
        <w:tc>
          <w:tcPr>
            <w:tcW w:type="dxa" w:w="43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Ten Thousand Dragon</w:t>
            </w:r>
          </w:p>
        </w:tc>
        <w:tc>
          <w:tcPr>
            <w:tcW w:type="dxa" w:w="23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ebay</w:t>
            </w:r>
          </w:p>
        </w:tc>
        <w:tc>
          <w:tcPr>
            <w:tcW w:type="dxa" w:w="27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$999.99</w:t>
            </w:r>
          </w:p>
        </w:tc>
      </w:tr>
      <w:tr>
        <w:tc>
          <w:tcPr>
            <w:tcW w:type="dxa" w:w="43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Magicians of Bonds and Unity</w:t>
            </w:r>
          </w:p>
        </w:tc>
        <w:tc>
          <w:tcPr>
            <w:tcW w:type="dxa" w:w="23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ebay</w:t>
            </w:r>
          </w:p>
        </w:tc>
        <w:tc>
          <w:tcPr>
            <w:tcW w:type="dxa" w:w="27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$830.00</w:t>
            </w:r>
          </w:p>
        </w:tc>
      </w:tr>
      <w:tr>
        <w:tc>
          <w:tcPr>
            <w:tcW w:type="dxa" w:w="43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Get Your Game On!</w:t>
            </w:r>
          </w:p>
        </w:tc>
        <w:tc>
          <w:tcPr>
            <w:tcW w:type="dxa" w:w="23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amazon</w:t>
            </w:r>
          </w:p>
        </w:tc>
        <w:tc>
          <w:tcPr>
            <w:tcW w:type="dxa" w:w="27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$720.27</w:t>
            </w:r>
          </w:p>
        </w:tc>
      </w:tr>
    </w:tbl>
    <w:p>
      <w:r>
        <w:t>El ranking por carta-marketplace muestra que un mismo nombre puede destacar en fuentes distintas. Esto refuerza la necesidad de revisar fuente, cobertura y posibles outliers antes de comparar cartas.</w:t>
      </w:r>
    </w:p>
    <w:p>
      <w:pPr>
        <w:pStyle w:val="Heading2"/>
      </w:pPr>
      <w:r>
        <w:t>4.4 Valor de mercado por set</w:t>
      </w:r>
    </w:p>
    <w:tbl>
      <w:tblPr>
        <w:tblW w:type="dxa" w:w="9360"/>
        <w:tblLayout w:type="fixed"/>
        <w:tblLook w:firstColumn="1" w:firstRow="1" w:lastColumn="0" w:lastRow="0" w:noHBand="0" w:noVBand="1" w:val="04A0"/>
        <w:tblInd w:w="120" w:type="dxa"/>
      </w:tblPr>
      <w:tblGrid>
        <w:gridCol w:w="4680"/>
        <w:gridCol w:w="4680"/>
      </w:tblGrid>
      <w:tr>
        <w:trPr>
          <w:tblHeader w:val="true"/>
        </w:trPr>
        <w:tc>
          <w:tcPr>
            <w:tcW w:type="dxa" w:w="62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Set</w:t>
            </w:r>
          </w:p>
        </w:tc>
        <w:tc>
          <w:tcPr>
            <w:tcW w:type="dxa" w:w="3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Valor mercado</w:t>
            </w:r>
          </w:p>
        </w:tc>
      </w:tr>
      <w:tr>
        <w:tc>
          <w:tcPr>
            <w:tcW w:type="dxa" w:w="62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Shonen Jump Championship 2007 Prize Card A</w:t>
            </w:r>
          </w:p>
        </w:tc>
        <w:tc>
          <w:tcPr>
            <w:tcW w:type="dxa" w:w="3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$115,033.33</w:t>
            </w:r>
          </w:p>
        </w:tc>
      </w:tr>
      <w:tr>
        <w:tc>
          <w:tcPr>
            <w:tcW w:type="dxa" w:w="62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Shonen Jump Championship 2005 Prize Card</w:t>
            </w:r>
          </w:p>
        </w:tc>
        <w:tc>
          <w:tcPr>
            <w:tcW w:type="dxa" w:w="3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$95,074.95</w:t>
            </w:r>
          </w:p>
        </w:tc>
      </w:tr>
      <w:tr>
        <w:tc>
          <w:tcPr>
            <w:tcW w:type="dxa" w:w="62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Yu-Gi-Oh! Championship Series 2010 Prize Cards</w:t>
            </w:r>
          </w:p>
        </w:tc>
        <w:tc>
          <w:tcPr>
            <w:tcW w:type="dxa" w:w="3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$30,547.47</w:t>
            </w:r>
          </w:p>
        </w:tc>
      </w:tr>
      <w:tr>
        <w:tc>
          <w:tcPr>
            <w:tcW w:type="dxa" w:w="62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Retro Pack</w:t>
            </w:r>
          </w:p>
        </w:tc>
        <w:tc>
          <w:tcPr>
            <w:tcW w:type="dxa" w:w="3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$25,119.51</w:t>
            </w:r>
          </w:p>
        </w:tc>
      </w:tr>
      <w:tr>
        <w:tc>
          <w:tcPr>
            <w:tcW w:type="dxa" w:w="62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Shonen Jump Championship 2004 Prize Card</w:t>
            </w:r>
          </w:p>
        </w:tc>
        <w:tc>
          <w:tcPr>
            <w:tcW w:type="dxa" w:w="3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$24,067.80</w:t>
            </w:r>
          </w:p>
        </w:tc>
      </w:tr>
      <w:tr>
        <w:tc>
          <w:tcPr>
            <w:tcW w:type="dxa" w:w="62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Shonen Jump Championship 2007 Prize Card B</w:t>
            </w:r>
          </w:p>
        </w:tc>
        <w:tc>
          <w:tcPr>
            <w:tcW w:type="dxa" w:w="3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$24,000.00</w:t>
            </w:r>
          </w:p>
        </w:tc>
      </w:tr>
      <w:tr>
        <w:tc>
          <w:tcPr>
            <w:tcW w:type="dxa" w:w="62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Pharaoh Tour 2007 promotional cards</w:t>
            </w:r>
          </w:p>
        </w:tc>
        <w:tc>
          <w:tcPr>
            <w:tcW w:type="dxa" w:w="3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$21,151.04</w:t>
            </w:r>
          </w:p>
        </w:tc>
      </w:tr>
      <w:tr>
        <w:tc>
          <w:tcPr>
            <w:tcW w:type="dxa" w:w="62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Shonen Jump Championship 2006 Prize Card</w:t>
            </w:r>
          </w:p>
        </w:tc>
        <w:tc>
          <w:tcPr>
            <w:tcW w:type="dxa" w:w="3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$18,530.00</w:t>
            </w:r>
          </w:p>
        </w:tc>
      </w:tr>
    </w:tbl>
    <w:p>
      <w:r>
        <w:t>El set con mayor valor exportado es Shonen Jump Championship 2007 Prize Card A ($115,033.33). La concentracion en sets premio sugiere que rareza competitiva, escasez y coleccionismo condicionan fuertemente el valor agregado.</w:t>
      </w:r>
    </w:p>
    <w:p>
      <w:pPr>
        <w:pStyle w:val="Heading1"/>
      </w:pPr>
      <w:r>
        <w:t>5. Analisis diagnostico</w:t>
      </w:r>
    </w:p>
    <w:p>
      <w:r>
        <w:drawing>
          <wp:inline xmlns:a="http://schemas.openxmlformats.org/drawingml/2006/main" xmlns:pic="http://schemas.openxmlformats.org/drawingml/2006/picture">
            <wp:extent cx="5760720" cy="3216294"/>
            <wp:docPr id="3" name="Picture 3"/>
            <wp:cNvGraphicFramePr>
              <a:graphicFrameLocks noChangeAspect="1"/>
            </wp:cNvGraphicFramePr>
            <a:graphic>
              <a:graphicData uri="http://schemas.openxmlformats.org/drawingml/2006/picture">
                <pic:pic>
                  <pic:nvPicPr>
                    <pic:cNvPr id="0" name="03_analisis_diagnostico.png"/>
                    <pic:cNvPicPr/>
                  </pic:nvPicPr>
                  <pic:blipFill>
                    <a:blip r:embed="rId12"/>
                    <a:stretch>
                      <a:fillRect/>
                    </a:stretch>
                  </pic:blipFill>
                  <pic:spPr>
                    <a:xfrm>
                      <a:off x="0" y="0"/>
                      <a:ext cx="5760720" cy="3216294"/>
                    </a:xfrm>
                    <a:prstGeom prst="rect"/>
                  </pic:spPr>
                </pic:pic>
              </a:graphicData>
            </a:graphic>
          </wp:inline>
        </w:drawing>
      </w:r>
    </w:p>
    <w:p>
      <w:pPr>
        <w:jc w:val="center"/>
      </w:pPr>
      <w:r>
        <w:rPr>
          <w:color w:val="666666"/>
          <w:sz w:val="18"/>
        </w:rPr>
        <w:t>Captura de la pagina 03_Analisis_diagnostico.</w:t>
      </w:r>
    </w:p>
    <w:p>
      <w:pPr>
        <w:pStyle w:val="Heading2"/>
      </w:pPr>
      <w:r>
        <w:t>5.1 Precio mediano por rareza</w:t>
      </w:r>
    </w:p>
    <w:tbl>
      <w:tblPr>
        <w:tblW w:type="dxa" w:w="9360"/>
        <w:tblLayout w:type="fixed"/>
        <w:tblLook w:firstColumn="1" w:firstRow="1" w:lastColumn="0" w:lastRow="0" w:noHBand="0" w:noVBand="1" w:val="04A0"/>
        <w:tblInd w:w="120" w:type="dxa"/>
      </w:tblPr>
      <w:tblGrid>
        <w:gridCol w:w="4680"/>
        <w:gridCol w:w="4680"/>
      </w:tblGrid>
      <w:tr>
        <w:trPr>
          <w:tblHeader w:val="true"/>
        </w:trPr>
        <w:tc>
          <w:tcPr>
            <w:tcW w:type="dxa" w:w="6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Rareza</w:t>
            </w:r>
          </w:p>
        </w:tc>
        <w:tc>
          <w:tcPr>
            <w:tcW w:type="dxa" w:w="32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Precio mediano</w:t>
            </w:r>
          </w:p>
        </w:tc>
      </w:tr>
      <w:tr>
        <w:tc>
          <w:tcPr>
            <w:tcW w:type="dxa" w:w="6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European debut</w:t>
            </w:r>
          </w:p>
        </w:tc>
        <w:tc>
          <w:tcPr>
            <w:tcW w:type="dxa" w:w="32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$7.99</w:t>
            </w:r>
          </w:p>
        </w:tc>
      </w:tr>
      <w:tr>
        <w:tc>
          <w:tcPr>
            <w:tcW w:type="dxa" w:w="6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Oceanian debut</w:t>
            </w:r>
          </w:p>
        </w:tc>
        <w:tc>
          <w:tcPr>
            <w:tcW w:type="dxa" w:w="32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$6.21</w:t>
            </w:r>
          </w:p>
        </w:tc>
      </w:tr>
      <w:tr>
        <w:tc>
          <w:tcPr>
            <w:tcW w:type="dxa" w:w="6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Ghost/Gold Rare</w:t>
            </w:r>
          </w:p>
        </w:tc>
        <w:tc>
          <w:tcPr>
            <w:tcW w:type="dxa" w:w="32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$5.15</w:t>
            </w:r>
          </w:p>
        </w:tc>
      </w:tr>
      <w:tr>
        <w:tc>
          <w:tcPr>
            <w:tcW w:type="dxa" w:w="6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Duel Terminal Normal Rare Parallel Rare</w:t>
            </w:r>
          </w:p>
        </w:tc>
        <w:tc>
          <w:tcPr>
            <w:tcW w:type="dxa" w:w="32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$4.62</w:t>
            </w:r>
          </w:p>
        </w:tc>
      </w:tr>
      <w:tr>
        <w:tc>
          <w:tcPr>
            <w:tcW w:type="dxa" w:w="6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Ghost Rare</w:t>
            </w:r>
          </w:p>
        </w:tc>
        <w:tc>
          <w:tcPr>
            <w:tcW w:type="dxa" w:w="32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$3.90</w:t>
            </w:r>
          </w:p>
        </w:tc>
      </w:tr>
      <w:tr>
        <w:tc>
          <w:tcPr>
            <w:tcW w:type="dxa" w:w="6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Ultra Rare (Pharaoh's Rare)</w:t>
            </w:r>
          </w:p>
        </w:tc>
        <w:tc>
          <w:tcPr>
            <w:tcW w:type="dxa" w:w="32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$3.59</w:t>
            </w:r>
          </w:p>
        </w:tc>
      </w:tr>
      <w:tr>
        <w:tc>
          <w:tcPr>
            <w:tcW w:type="dxa" w:w="6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Super Parallel Rare</w:t>
            </w:r>
          </w:p>
        </w:tc>
        <w:tc>
          <w:tcPr>
            <w:tcW w:type="dxa" w:w="32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$3.33</w:t>
            </w:r>
          </w:p>
        </w:tc>
      </w:tr>
      <w:tr>
        <w:tc>
          <w:tcPr>
            <w:tcW w:type="dxa" w:w="6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Extra Secret Rare</w:t>
            </w:r>
          </w:p>
        </w:tc>
        <w:tc>
          <w:tcPr>
            <w:tcW w:type="dxa" w:w="32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$3.20</w:t>
            </w:r>
          </w:p>
        </w:tc>
      </w:tr>
      <w:tr>
        <w:tc>
          <w:tcPr>
            <w:tcW w:type="dxa" w:w="6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Premium Gold Rare</w:t>
            </w:r>
          </w:p>
        </w:tc>
        <w:tc>
          <w:tcPr>
            <w:tcW w:type="dxa" w:w="32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$2.99</w:t>
            </w:r>
          </w:p>
        </w:tc>
      </w:tr>
      <w:tr>
        <w:tc>
          <w:tcPr>
            <w:tcW w:type="dxa" w:w="6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2</w:t>
            </w:r>
          </w:p>
        </w:tc>
        <w:tc>
          <w:tcPr>
            <w:tcW w:type="dxa" w:w="32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$2.84</w:t>
            </w:r>
          </w:p>
        </w:tc>
      </w:tr>
    </w:tbl>
    <w:p>
      <w:r>
        <w:t>European debut aparece como rareza con mayor mediana ($7.99). La mediana reduce el efecto de precios extremos, por lo que esta lectura es mas estable que un promedio simple para diagnosticar rarezas.</w:t>
      </w:r>
    </w:p>
    <w:p>
      <w:r>
        <w:t>La interpretacion prudente es que estas rarezas se asocian con precios superiores en el contexto exportado. No prueba causalidad: puede intervenir escasez, antiguedad, fuente de precio, carta concreta o baja cobertura.</w:t>
      </w:r>
    </w:p>
    <w:p>
      <w:pPr>
        <w:pStyle w:val="Heading2"/>
      </w:pPr>
      <w:r>
        <w:t>5.2 Sets distintos y apariciones por carta</w:t>
      </w:r>
    </w:p>
    <w:tbl>
      <w:tblPr>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5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Carta</w:t>
            </w:r>
          </w:p>
        </w:tc>
        <w:tc>
          <w:tcPr>
            <w:tcW w:type="dxa" w:w="2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Sets distintos</w:t>
            </w:r>
          </w:p>
        </w:tc>
        <w:tc>
          <w:tcPr>
            <w:tcW w:type="dxa" w:w="2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Apariciones</w:t>
            </w:r>
          </w:p>
        </w:tc>
      </w:tr>
      <w:tr>
        <w:tc>
          <w:tcPr>
            <w:tcW w:type="dxa" w:w="5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Blue-Eyes White Dragon</w:t>
            </w:r>
          </w:p>
        </w:tc>
        <w:tc>
          <w:tcPr>
            <w:tcW w:type="dxa" w:w="2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60</w:t>
            </w:r>
          </w:p>
        </w:tc>
        <w:tc>
          <w:tcPr>
            <w:tcW w:type="dxa" w:w="2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77</w:t>
            </w:r>
          </w:p>
        </w:tc>
      </w:tr>
      <w:tr>
        <w:tc>
          <w:tcPr>
            <w:tcW w:type="dxa" w:w="5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Mystical Space Typhoon</w:t>
            </w:r>
          </w:p>
        </w:tc>
        <w:tc>
          <w:tcPr>
            <w:tcW w:type="dxa" w:w="2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58</w:t>
            </w:r>
          </w:p>
        </w:tc>
        <w:tc>
          <w:tcPr>
            <w:tcW w:type="dxa" w:w="2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70</w:t>
            </w:r>
          </w:p>
        </w:tc>
      </w:tr>
      <w:tr>
        <w:tc>
          <w:tcPr>
            <w:tcW w:type="dxa" w:w="5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Call of the Haunted</w:t>
            </w:r>
          </w:p>
        </w:tc>
        <w:tc>
          <w:tcPr>
            <w:tcW w:type="dxa" w:w="2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50</w:t>
            </w:r>
          </w:p>
        </w:tc>
        <w:tc>
          <w:tcPr>
            <w:tcW w:type="dxa" w:w="2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64</w:t>
            </w:r>
          </w:p>
        </w:tc>
      </w:tr>
      <w:tr>
        <w:tc>
          <w:tcPr>
            <w:tcW w:type="dxa" w:w="5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Dark Magician</w:t>
            </w:r>
          </w:p>
        </w:tc>
        <w:tc>
          <w:tcPr>
            <w:tcW w:type="dxa" w:w="2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46</w:t>
            </w:r>
          </w:p>
        </w:tc>
        <w:tc>
          <w:tcPr>
            <w:tcW w:type="dxa" w:w="2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59</w:t>
            </w:r>
          </w:p>
        </w:tc>
      </w:tr>
      <w:tr>
        <w:tc>
          <w:tcPr>
            <w:tcW w:type="dxa" w:w="5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Cyber Dragon</w:t>
            </w:r>
          </w:p>
        </w:tc>
        <w:tc>
          <w:tcPr>
            <w:tcW w:type="dxa" w:w="2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38</w:t>
            </w:r>
          </w:p>
        </w:tc>
        <w:tc>
          <w:tcPr>
            <w:tcW w:type="dxa" w:w="2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47</w:t>
            </w:r>
          </w:p>
        </w:tc>
      </w:tr>
      <w:tr>
        <w:tc>
          <w:tcPr>
            <w:tcW w:type="dxa" w:w="5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Book of Moon</w:t>
            </w:r>
          </w:p>
        </w:tc>
        <w:tc>
          <w:tcPr>
            <w:tcW w:type="dxa" w:w="2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37</w:t>
            </w:r>
          </w:p>
        </w:tc>
        <w:tc>
          <w:tcPr>
            <w:tcW w:type="dxa" w:w="2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46</w:t>
            </w:r>
          </w:p>
        </w:tc>
      </w:tr>
      <w:tr>
        <w:tc>
          <w:tcPr>
            <w:tcW w:type="dxa" w:w="5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Dark Hole</w:t>
            </w:r>
          </w:p>
        </w:tc>
        <w:tc>
          <w:tcPr>
            <w:tcW w:type="dxa" w:w="2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34</w:t>
            </w:r>
          </w:p>
        </w:tc>
        <w:tc>
          <w:tcPr>
            <w:tcW w:type="dxa" w:w="2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41</w:t>
            </w:r>
          </w:p>
        </w:tc>
      </w:tr>
      <w:tr>
        <w:tc>
          <w:tcPr>
            <w:tcW w:type="dxa" w:w="5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Dark Magician Girl</w:t>
            </w:r>
          </w:p>
        </w:tc>
        <w:tc>
          <w:tcPr>
            <w:tcW w:type="dxa" w:w="2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34</w:t>
            </w:r>
          </w:p>
        </w:tc>
        <w:tc>
          <w:tcPr>
            <w:tcW w:type="dxa" w:w="2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43</w:t>
            </w:r>
          </w:p>
        </w:tc>
      </w:tr>
      <w:tr>
        <w:tc>
          <w:tcPr>
            <w:tcW w:type="dxa" w:w="5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Reinforcement of the Army</w:t>
            </w:r>
          </w:p>
        </w:tc>
        <w:tc>
          <w:tcPr>
            <w:tcW w:type="dxa" w:w="2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34</w:t>
            </w:r>
          </w:p>
        </w:tc>
        <w:tc>
          <w:tcPr>
            <w:tcW w:type="dxa" w:w="2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47</w:t>
            </w:r>
          </w:p>
        </w:tc>
      </w:tr>
      <w:tr>
        <w:tc>
          <w:tcPr>
            <w:tcW w:type="dxa" w:w="5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Polymerization</w:t>
            </w:r>
          </w:p>
        </w:tc>
        <w:tc>
          <w:tcPr>
            <w:tcW w:type="dxa" w:w="21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33</w:t>
            </w:r>
          </w:p>
        </w:tc>
        <w:tc>
          <w:tcPr>
            <w:tcW w:type="dxa" w:w="21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57</w:t>
            </w:r>
          </w:p>
        </w:tc>
      </w:tr>
    </w:tbl>
    <w:p>
      <w:r>
        <w:t>Blue-Eyes White Dragon lidera presencia con 60 sets distintos y 77 apariciones. Esta senal explica disponibilidad historica, reimpresion o popularidad; no mide valor por si sola.</w:t>
      </w:r>
    </w:p>
    <w:p>
      <w:pPr>
        <w:pStyle w:val="Heading2"/>
      </w:pPr>
      <w:r>
        <w:t>5.3 Preguntas respondidas</w:t>
      </w:r>
    </w:p>
    <w:tbl>
      <w:tblPr>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2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Pregunta</w:t>
            </w:r>
          </w:p>
        </w:tc>
        <w:tc>
          <w:tcPr>
            <w:tcW w:type="dxa" w:w="38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Respuesta basada en CSV</w:t>
            </w:r>
          </w:p>
        </w:tc>
        <w:tc>
          <w:tcPr>
            <w:tcW w:type="dxa" w:w="2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Decision / cautela</w:t>
            </w:r>
          </w:p>
        </w:tc>
      </w:tr>
      <w:tr>
        <w:tc>
          <w:tcPr>
            <w:tcW w:type="dxa" w:w="2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Que rarezas se asocian con precios mas altos?</w:t>
            </w:r>
          </w:p>
        </w:tc>
        <w:tc>
          <w:tcPr>
            <w:tcW w:type="dxa" w:w="38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Lidera European debut con mediana $7.99.</w:t>
            </w:r>
          </w:p>
        </w:tc>
        <w:tc>
          <w:tcPr>
            <w:tcW w:type="dxa" w:w="2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Usar como hipotesis diagnostica; validar cobertura por rareza.</w:t>
            </w:r>
          </w:p>
        </w:tc>
      </w:tr>
      <w:tr>
        <w:tc>
          <w:tcPr>
            <w:tcW w:type="dxa" w:w="2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Que cartas aparecen en mas sets?</w:t>
            </w:r>
          </w:p>
        </w:tc>
        <w:tc>
          <w:tcPr>
            <w:tcW w:type="dxa" w:w="38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Lidera Blue-Eyes White Dragon con 60 sets.</w:t>
            </w:r>
          </w:p>
        </w:tc>
        <w:tc>
          <w:tcPr>
            <w:tcW w:type="dxa" w:w="2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Interpretar como presencia/reimpresion, no como recomendacion.</w:t>
            </w:r>
          </w:p>
        </w:tc>
      </w:tr>
      <w:tr>
        <w:tc>
          <w:tcPr>
            <w:tcW w:type="dxa" w:w="2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Como afecta marketplace?</w:t>
            </w:r>
          </w:p>
        </w:tc>
        <w:tc>
          <w:tcPr>
            <w:tcW w:type="dxa" w:w="38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El visual incluye slicer con amazon, cardmarket, coolstuffinc, ebay y tcgplayer.</w:t>
            </w:r>
          </w:p>
        </w:tc>
        <w:tc>
          <w:tcPr>
            <w:tcW w:type="dxa" w:w="2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Mantener fuente y moneda antes de comparar precios.</w:t>
            </w:r>
          </w:p>
        </w:tc>
      </w:tr>
    </w:tbl>
    <w:p>
      <w:pPr>
        <w:pStyle w:val="Heading1"/>
      </w:pPr>
      <w:r>
        <w:t>6. Decisiones, hipotesis y siguientes validaciones</w:t>
      </w:r>
    </w:p>
    <w:tbl>
      <w:tblPr>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2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Linea de accion</w:t>
            </w:r>
          </w:p>
        </w:tc>
        <w:tc>
          <w:tcPr>
            <w:tcW w:type="dxa" w:w="3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Base observada</w:t>
            </w:r>
          </w:p>
        </w:tc>
        <w:tc>
          <w:tcPr>
            <w:tcW w:type="dxa" w:w="28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F2F4F7"/>
          </w:tcPr>
          <w:p>
            <w:pPr>
              <w:spacing w:after="0" w:line="252" w:lineRule="auto"/>
            </w:pPr>
            <w:r>
              <w:rPr>
                <w:b/>
                <w:color w:val="1F4D78"/>
                <w:sz w:val="18"/>
              </w:rPr>
              <w:t>Siguiente validacion</w:t>
            </w:r>
          </w:p>
        </w:tc>
      </w:tr>
      <w:tr>
        <w:tc>
          <w:tcPr>
            <w:tcW w:type="dxa" w:w="2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Revisar outliers de precio</w:t>
            </w:r>
          </w:p>
        </w:tc>
        <w:tc>
          <w:tcPr>
            <w:tcW w:type="dxa" w:w="3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Blood Mefist encabeza precio medio con $933.73.</w:t>
            </w:r>
          </w:p>
        </w:tc>
        <w:tc>
          <w:tcPr>
            <w:tcW w:type="dxa" w:w="28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Contrastar precio por marketplace, moneda y cobertura.</w:t>
            </w:r>
          </w:p>
        </w:tc>
      </w:tr>
      <w:tr>
        <w:tc>
          <w:tcPr>
            <w:tcW w:type="dxa" w:w="2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Profundizar en sets premio</w:t>
            </w:r>
          </w:p>
        </w:tc>
        <w:tc>
          <w:tcPr>
            <w:tcW w:type="dxa" w:w="3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Shonen Jump Championship 2007 Prize Card A lidera valor agregado.</w:t>
            </w:r>
          </w:p>
        </w:tc>
        <w:tc>
          <w:tcPr>
            <w:tcW w:type="dxa" w:w="28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Separar precio de carta, precio de set y numero de apariciones.</w:t>
            </w:r>
          </w:p>
        </w:tc>
      </w:tr>
      <w:tr>
        <w:tc>
          <w:tcPr>
            <w:tcW w:type="dxa" w:w="2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Validar rarezas caras</w:t>
            </w:r>
          </w:p>
        </w:tc>
        <w:tc>
          <w:tcPr>
            <w:tcW w:type="dxa" w:w="3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Las primeras rarezas por mediana muestran precios superiores.</w:t>
            </w:r>
          </w:p>
        </w:tc>
        <w:tc>
          <w:tcPr>
            <w:tcW w:type="dxa" w:w="28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Medir numero de cartas por rareza antes de concluir.</w:t>
            </w:r>
          </w:p>
        </w:tc>
      </w:tr>
      <w:tr>
        <w:tc>
          <w:tcPr>
            <w:tcW w:type="dxa" w:w="26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Usar presencia como contexto</w:t>
            </w:r>
          </w:p>
        </w:tc>
        <w:tc>
          <w:tcPr>
            <w:tcW w:type="dxa" w:w="390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Blue-Eyes White Dragon y otras cartas clasicas lideran sets distintos.</w:t>
            </w:r>
          </w:p>
        </w:tc>
        <w:tc>
          <w:tcPr>
            <w:tcW w:type="dxa" w:w="28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line="252" w:lineRule="auto"/>
            </w:pPr>
            <w:r>
              <w:rPr>
                <w:sz w:val="18"/>
              </w:rPr>
              <w:t>Cruzar presencia con precio y tipo de carta.</w:t>
            </w:r>
          </w:p>
        </w:tc>
      </w:tr>
    </w:tbl>
    <w:tbl>
      <w:tblPr>
        <w:tblW w:type="dxa" w:w="9360"/>
        <w:tblLayout w:type="fixed"/>
        <w:tblLook w:firstColumn="1" w:firstRow="1" w:lastColumn="0" w:lastRow="0" w:noHBand="0" w:noVBand="1" w:val="04A0"/>
        <w:tblInd w:w="120" w:type="dxa"/>
      </w:tblPr>
      <w:tblGrid>
        <w:gridCol w:w="9360"/>
      </w:tblGrid>
      <w:tr>
        <w:trPr>
          <w:tblHeader w:val="true"/>
        </w:trPr>
        <w:tc>
          <w:tcPr>
            <w:tcW w:type="dxa" w:w="9360"/>
            <w:vAlign w:val="center"/>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shd w:fill="EAF8EE"/>
          </w:tcPr>
          <w:p>
            <w:pPr>
              <w:spacing w:after="0" w:line="252" w:lineRule="auto"/>
            </w:pPr>
            <w:r>
              <w:rPr>
                <w:b/>
                <w:color w:val="1F4D78"/>
                <w:sz w:val="18"/>
              </w:rPr>
              <w:t>Conclusion: el informe identifica senales de valor y presencia, pero las decisiones prescriptivas deben esperar a validar outliers, moneda, fuente y cobertura de cada visual.</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Informe de resultados Power BI - Yu-Gi-Oh!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