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900"/>
        <w:jc w:val="center"/>
      </w:pPr>
      <w:r>
        <w:rPr>
          <w:rFonts w:ascii="Calibri" w:hAnsi="Calibri"/>
          <w:b/>
          <w:color w:val="2E74B5"/>
          <w:sz w:val="22"/>
        </w:rPr>
        <w:t>MARCO DE APRENDIZAJE</w:t>
      </w:r>
    </w:p>
    <w:p>
      <w:pPr>
        <w:pStyle w:val="Title"/>
        <w:jc w:val="center"/>
      </w:pPr>
      <w:r>
        <w:t>Testing con Python y pytest</w:t>
      </w:r>
    </w:p>
    <w:p>
      <w:pPr>
        <w:pStyle w:val="Subtitle"/>
        <w:jc w:val="center"/>
      </w:pPr>
      <w:r>
        <w:t>Del entorno aislado a una estrategia de calidad reproducible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/>
                <w:b/>
                <w:color w:val="1F4D78"/>
                <w:sz w:val="22"/>
              </w:rPr>
              <w:t xml:space="preserve">Contrato didáctico. </w:t>
            </w:r>
            <w:r>
              <w:rPr>
                <w:rFonts w:ascii="Calibri" w:hAnsi="Calibri"/>
                <w:color w:val="203748"/>
                <w:sz w:val="22"/>
              </w:rPr>
              <w:t>Cada módulo introduce una sola capa nueva. Primero comprendes la necesidad; después ejecutas; finalmente explicas la evidencia y autorizas el avance.</w:t>
            </w:r>
          </w:p>
        </w:tc>
      </w:tr>
    </w:tbl>
    <w:p>
      <w:pPr>
        <w:spacing w:after="20"/>
      </w:pPr>
    </w:p>
    <w:p>
      <w:pPr>
        <w:jc w:val="center"/>
      </w:pPr>
      <w:r>
        <w:t>Versión inicial · julio de 2026</w:t>
      </w:r>
    </w:p>
    <w:p>
      <w:r>
        <w:br w:type="page"/>
      </w:r>
    </w:p>
    <w:p>
      <w:pPr>
        <w:pStyle w:val="Heading1"/>
      </w:pPr>
      <w:r>
        <w:t>Cómo usar este documento</w:t>
      </w:r>
    </w:p>
    <w:p>
      <w:r>
        <w:t>Este no es un manual para leer de principio a fin sin practicar. Es un mapa de decisiones que se completa con tus ejecuciones reales.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400"/>
        <w:gridCol w:w="6960"/>
      </w:tblGrid>
      <w:tr>
        <w:trPr>
          <w:tblHeader w:val="true"/>
        </w:trPr>
        <w:tc>
          <w:tcPr>
            <w:tcW w:type="dxa" w:w="2400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color w:val="1F4D78"/>
                <w:sz w:val="20"/>
              </w:rPr>
              <w:t>Elemento</w:t>
            </w:r>
          </w:p>
        </w:tc>
        <w:tc>
          <w:tcPr>
            <w:tcW w:type="dxa" w:w="6960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color w:val="1F4D78"/>
                <w:sz w:val="20"/>
              </w:rPr>
              <w:t>Función didáctica</w:t>
            </w:r>
          </w:p>
        </w:tc>
      </w:tr>
      <w:tr>
        <w:tc>
          <w:tcPr>
            <w:tcW w:type="dxa" w:w="24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203748"/>
                <w:sz w:val="19"/>
              </w:rPr>
              <w:t>Aprendizaje nuevo</w:t>
            </w:r>
          </w:p>
        </w:tc>
        <w:tc>
          <w:tcPr>
            <w:tcW w:type="dxa" w:w="69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203748"/>
                <w:sz w:val="19"/>
              </w:rPr>
              <w:t>Delimita la idea que se incorpora.</w:t>
            </w:r>
          </w:p>
        </w:tc>
      </w:tr>
      <w:tr>
        <w:tc>
          <w:tcPr>
            <w:tcW w:type="dxa" w:w="24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203748"/>
                <w:sz w:val="19"/>
              </w:rPr>
              <w:t>Qué / por qué / para qué</w:t>
            </w:r>
          </w:p>
        </w:tc>
        <w:tc>
          <w:tcPr>
            <w:tcW w:type="dxa" w:w="69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203748"/>
                <w:sz w:val="19"/>
              </w:rPr>
              <w:t>Conecta definición, necesidad y utilidad.</w:t>
            </w:r>
          </w:p>
        </w:tc>
      </w:tr>
      <w:tr>
        <w:tc>
          <w:tcPr>
            <w:tcW w:type="dxa" w:w="24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203748"/>
                <w:sz w:val="19"/>
              </w:rPr>
              <w:t>Práctica guiada</w:t>
            </w:r>
          </w:p>
        </w:tc>
        <w:tc>
          <w:tcPr>
            <w:tcW w:type="dxa" w:w="69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203748"/>
                <w:sz w:val="19"/>
              </w:rPr>
              <w:t>Convierte la explicación en una acción observable.</w:t>
            </w:r>
          </w:p>
        </w:tc>
      </w:tr>
      <w:tr>
        <w:tc>
          <w:tcPr>
            <w:tcW w:type="dxa" w:w="24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203748"/>
                <w:sz w:val="19"/>
              </w:rPr>
              <w:t>Criterio de avance</w:t>
            </w:r>
          </w:p>
        </w:tc>
        <w:tc>
          <w:tcPr>
            <w:tcW w:type="dxa" w:w="69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203748"/>
                <w:sz w:val="19"/>
              </w:rPr>
              <w:t>Indica qué debes poder demostrar.</w:t>
            </w:r>
          </w:p>
        </w:tc>
      </w:tr>
      <w:tr>
        <w:tc>
          <w:tcPr>
            <w:tcW w:type="dxa" w:w="24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203748"/>
                <w:sz w:val="19"/>
              </w:rPr>
              <w:t>Pausa didáctica</w:t>
            </w:r>
          </w:p>
        </w:tc>
        <w:tc>
          <w:tcPr>
            <w:tcW w:type="dxa" w:w="69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203748"/>
                <w:sz w:val="19"/>
              </w:rPr>
              <w:t>Impide acumular comandos sin comprensión.</w:t>
            </w:r>
          </w:p>
        </w:tc>
      </w:tr>
    </w:tbl>
    <w:p>
      <w:pPr>
        <w:spacing w:after="20"/>
      </w:pPr>
    </w:p>
    <w:p>
      <w:pPr>
        <w:pStyle w:val="Heading2"/>
      </w:pPr>
      <w:r>
        <w:t>Mapa completo del proceso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100"/>
        <w:gridCol w:w="1700"/>
        <w:gridCol w:w="5560"/>
      </w:tblGrid>
      <w:tr>
        <w:trPr>
          <w:tblHeader w:val="true"/>
        </w:trPr>
        <w:tc>
          <w:tcPr>
            <w:tcW w:type="dxa" w:w="2100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color w:val="1F4D78"/>
                <w:sz w:val="20"/>
              </w:rPr>
              <w:t>Fase</w:t>
            </w:r>
          </w:p>
        </w:tc>
        <w:tc>
          <w:tcPr>
            <w:tcW w:type="dxa" w:w="1700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color w:val="1F4D78"/>
                <w:sz w:val="20"/>
              </w:rPr>
              <w:t>Módulos</w:t>
            </w:r>
          </w:p>
        </w:tc>
        <w:tc>
          <w:tcPr>
            <w:tcW w:type="dxa" w:w="5560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color w:val="1F4D78"/>
                <w:sz w:val="20"/>
              </w:rPr>
              <w:t>Resultado</w:t>
            </w:r>
          </w:p>
        </w:tc>
      </w:tr>
      <w:tr>
        <w:tc>
          <w:tcPr>
            <w:tcW w:type="dxa" w:w="21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203748"/>
                <w:sz w:val="19"/>
              </w:rPr>
              <w:t>Preparación</w:t>
            </w:r>
          </w:p>
        </w:tc>
        <w:tc>
          <w:tcPr>
            <w:tcW w:type="dxa" w:w="1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203748"/>
                <w:sz w:val="19"/>
              </w:rPr>
              <w:t>0–3</w:t>
            </w:r>
          </w:p>
        </w:tc>
        <w:tc>
          <w:tcPr>
            <w:tcW w:type="dxa" w:w="5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203748"/>
                <w:sz w:val="19"/>
              </w:rPr>
              <w:t>Proyecto aislado, trazable y declarado.</w:t>
            </w:r>
          </w:p>
        </w:tc>
      </w:tr>
      <w:tr>
        <w:tc>
          <w:tcPr>
            <w:tcW w:type="dxa" w:w="21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203748"/>
                <w:sz w:val="19"/>
              </w:rPr>
              <w:t>Primer ciclo</w:t>
            </w:r>
          </w:p>
        </w:tc>
        <w:tc>
          <w:tcPr>
            <w:tcW w:type="dxa" w:w="1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203748"/>
                <w:sz w:val="19"/>
              </w:rPr>
              <w:t>4–6</w:t>
            </w:r>
          </w:p>
        </w:tc>
        <w:tc>
          <w:tcPr>
            <w:tcW w:type="dxa" w:w="5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203748"/>
                <w:sz w:val="19"/>
              </w:rPr>
              <w:t>Primera prueba, fallo leído y contrato comprendido.</w:t>
            </w:r>
          </w:p>
        </w:tc>
      </w:tr>
      <w:tr>
        <w:tc>
          <w:tcPr>
            <w:tcW w:type="dxa" w:w="21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203748"/>
                <w:sz w:val="19"/>
              </w:rPr>
              <w:t>Diseño de casos</w:t>
            </w:r>
          </w:p>
        </w:tc>
        <w:tc>
          <w:tcPr>
            <w:tcW w:type="dxa" w:w="1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203748"/>
                <w:sz w:val="19"/>
              </w:rPr>
              <w:t>7–9</w:t>
            </w:r>
          </w:p>
        </w:tc>
        <w:tc>
          <w:tcPr>
            <w:tcW w:type="dxa" w:w="5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203748"/>
                <w:sz w:val="19"/>
              </w:rPr>
              <w:t>Límites, parametrización y excepciones.</w:t>
            </w:r>
          </w:p>
        </w:tc>
      </w:tr>
      <w:tr>
        <w:tc>
          <w:tcPr>
            <w:tcW w:type="dxa" w:w="21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203748"/>
                <w:sz w:val="19"/>
              </w:rPr>
              <w:t>Contexto y aislamiento</w:t>
            </w:r>
          </w:p>
        </w:tc>
        <w:tc>
          <w:tcPr>
            <w:tcW w:type="dxa" w:w="1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203748"/>
                <w:sz w:val="19"/>
              </w:rPr>
              <w:t>10–11</w:t>
            </w:r>
          </w:p>
        </w:tc>
        <w:tc>
          <w:tcPr>
            <w:tcW w:type="dxa" w:w="5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203748"/>
                <w:sz w:val="19"/>
              </w:rPr>
              <w:t>Fixtures y dependencias controladas.</w:t>
            </w:r>
          </w:p>
        </w:tc>
      </w:tr>
      <w:tr>
        <w:tc>
          <w:tcPr>
            <w:tcW w:type="dxa" w:w="21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203748"/>
                <w:sz w:val="19"/>
              </w:rPr>
              <w:t>Estrategia</w:t>
            </w:r>
          </w:p>
        </w:tc>
        <w:tc>
          <w:tcPr>
            <w:tcW w:type="dxa" w:w="1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203748"/>
                <w:sz w:val="19"/>
              </w:rPr>
              <w:t>12–14</w:t>
            </w:r>
          </w:p>
        </w:tc>
        <w:tc>
          <w:tcPr>
            <w:tcW w:type="dxa" w:w="5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203748"/>
                <w:sz w:val="19"/>
              </w:rPr>
              <w:t>Niveles, cobertura y automatización.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pStyle w:val="Heading1"/>
      </w:pPr>
      <w:r>
        <w:t>Módulo 0 — Qué significa probar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F4F6F9"/>
          </w:tcPr>
          <w:p>
            <w:pPr>
              <w:spacing w:after="0"/>
            </w:pPr>
            <w:r>
              <w:rPr>
                <w:rFonts w:ascii="Calibri" w:hAnsi="Calibri"/>
                <w:b/>
                <w:color w:val="1F4D78"/>
                <w:sz w:val="22"/>
              </w:rPr>
              <w:t xml:space="preserve">Aprendizaje nuevo. </w:t>
            </w:r>
            <w:r>
              <w:rPr>
                <w:rFonts w:ascii="Calibri" w:hAnsi="Calibri"/>
                <w:color w:val="203748"/>
                <w:sz w:val="22"/>
              </w:rPr>
              <w:t>Testing es obtener información sobre el comportamiento y el riesgo del software mediante observaciones deliberadas.</w:t>
            </w:r>
          </w:p>
        </w:tc>
      </w:tr>
    </w:tbl>
    <w:p>
      <w:pPr>
        <w:spacing w:after="20"/>
      </w:pP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900"/>
        <w:gridCol w:w="7460"/>
      </w:tblGrid>
      <w:tr>
        <w:trPr>
          <w:tblHeader w:val="true"/>
        </w:trPr>
        <w:tc>
          <w:tcPr>
            <w:tcW w:type="dxa" w:w="1900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color w:val="1F4D78"/>
                <w:sz w:val="20"/>
              </w:rPr>
              <w:t>Pregunta</w:t>
            </w:r>
          </w:p>
        </w:tc>
        <w:tc>
          <w:tcPr>
            <w:tcW w:type="dxa" w:w="7460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color w:val="1F4D78"/>
                <w:sz w:val="20"/>
              </w:rPr>
              <w:t>Respuesta</w:t>
            </w:r>
          </w:p>
        </w:tc>
      </w:tr>
      <w:tr>
        <w:tc>
          <w:tcPr>
            <w:tcW w:type="dxa" w:w="1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203748"/>
                <w:sz w:val="19"/>
              </w:rPr>
              <w:t>Qué</w:t>
            </w:r>
          </w:p>
        </w:tc>
        <w:tc>
          <w:tcPr>
            <w:tcW w:type="dxa" w:w="74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203748"/>
                <w:sz w:val="19"/>
              </w:rPr>
              <w:t>Testing es obtener información sobre el comportamiento y el riesgo del software mediante observaciones deliberadas.</w:t>
            </w:r>
          </w:p>
        </w:tc>
      </w:tr>
      <w:tr>
        <w:tc>
          <w:tcPr>
            <w:tcW w:type="dxa" w:w="1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203748"/>
                <w:sz w:val="19"/>
              </w:rPr>
              <w:t>Por qué</w:t>
            </w:r>
          </w:p>
        </w:tc>
        <w:tc>
          <w:tcPr>
            <w:tcW w:type="dxa" w:w="74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203748"/>
                <w:sz w:val="19"/>
              </w:rPr>
              <w:t>Sin una expectativa explícita, que el programa se ejecute no demuestra que haga lo correcto.</w:t>
            </w:r>
          </w:p>
        </w:tc>
      </w:tr>
      <w:tr>
        <w:tc>
          <w:tcPr>
            <w:tcW w:type="dxa" w:w="1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203748"/>
                <w:sz w:val="19"/>
              </w:rPr>
              <w:t>Para qué</w:t>
            </w:r>
          </w:p>
        </w:tc>
        <w:tc>
          <w:tcPr>
            <w:tcW w:type="dxa" w:w="74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203748"/>
                <w:sz w:val="19"/>
              </w:rPr>
              <w:t>Transformar reglas vagas en preguntas repetibles y diagnósticos útiles.</w:t>
            </w:r>
          </w:p>
        </w:tc>
      </w:tr>
      <w:tr>
        <w:tc>
          <w:tcPr>
            <w:tcW w:type="dxa" w:w="1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203748"/>
                <w:sz w:val="19"/>
              </w:rPr>
              <w:t>Qué observar</w:t>
            </w:r>
          </w:p>
        </w:tc>
        <w:tc>
          <w:tcPr>
            <w:tcW w:type="dxa" w:w="74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203748"/>
                <w:sz w:val="19"/>
              </w:rPr>
              <w:t>Diferenciar «no falló» de «cumplió el contrato».</w:t>
            </w:r>
          </w:p>
        </w:tc>
      </w:tr>
      <w:tr>
        <w:tc>
          <w:tcPr>
            <w:tcW w:type="dxa" w:w="1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203748"/>
                <w:sz w:val="19"/>
              </w:rPr>
              <w:t>Estado</w:t>
            </w:r>
          </w:p>
        </w:tc>
        <w:tc>
          <w:tcPr>
            <w:tcW w:type="dxa" w:w="74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203748"/>
                <w:sz w:val="19"/>
              </w:rPr>
              <w:t>CONCEPTUAL</w:t>
            </w:r>
          </w:p>
        </w:tc>
      </w:tr>
    </w:tbl>
    <w:p>
      <w:pPr>
        <w:spacing w:after="20"/>
      </w:pPr>
    </w:p>
    <w:p>
      <w:pPr>
        <w:pStyle w:val="Heading2"/>
      </w:pPr>
      <w:r>
        <w:t>Práctica guiada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rFonts w:ascii="Consolas" w:hAnsi="Consolas"/>
                <w:color w:val="202124"/>
                <w:sz w:val="18"/>
              </w:rPr>
              <w:t>Regla: "un texto vacío se representa como None"</w:t>
            </w:r>
            <w:r>
              <w:br/>
            </w:r>
            <w:r>
              <w:rPr>
                <w:rFonts w:ascii="Consolas" w:hAnsi="Consolas"/>
                <w:color w:val="202124"/>
                <w:sz w:val="18"/>
              </w:rPr>
              <w:t>Entrada: "   "</w:t>
            </w:r>
            <w:r>
              <w:br/>
            </w:r>
            <w:r>
              <w:rPr>
                <w:rFonts w:ascii="Consolas" w:hAnsi="Consolas"/>
                <w:color w:val="202124"/>
                <w:sz w:val="18"/>
              </w:rPr>
              <w:t>Resultado esperado: None</w:t>
            </w:r>
            <w:r>
              <w:br/>
            </w:r>
            <w:r>
              <w:rPr>
                <w:rFonts w:ascii="Consolas" w:hAnsi="Consolas"/>
                <w:color w:val="202124"/>
                <w:sz w:val="18"/>
              </w:rPr>
              <w:t>Riesgo: guardar un valor aparentemente presente</w:t>
            </w:r>
          </w:p>
        </w:tc>
      </w:tr>
    </w:tbl>
    <w:p>
      <w:pPr>
        <w:spacing w:after="20"/>
      </w:pPr>
    </w:p>
    <w:p>
      <w:pPr>
        <w:pStyle w:val="Heading2"/>
      </w:pPr>
      <w:r>
        <w:t>Criterio de avance</w:t>
      </w:r>
    </w:p>
    <w:p>
      <w:r>
        <w:t>Puedes explicar qué incertidumbre reduce la prueba y qué incertidumbre permanece.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FFF7E6"/>
          </w:tcPr>
          <w:p>
            <w:pPr>
              <w:spacing w:after="0"/>
            </w:pPr>
            <w:r>
              <w:rPr>
                <w:rFonts w:ascii="Calibri" w:hAnsi="Calibri"/>
                <w:b/>
                <w:color w:val="1F4D78"/>
                <w:sz w:val="22"/>
              </w:rPr>
              <w:t xml:space="preserve">Pausa didáctica. </w:t>
            </w:r>
            <w:r>
              <w:rPr>
                <w:rFonts w:ascii="Calibri" w:hAnsi="Calibri"/>
                <w:color w:val="203748"/>
                <w:sz w:val="22"/>
              </w:rPr>
              <w:t>No se avanza al siguiente módulo hasta ejecutar, explicar el resultado y confirmar la actualización de este documento.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pStyle w:val="Heading1"/>
      </w:pPr>
      <w:r>
        <w:t>Módulo 1 — Raíz y estructura del laboratorio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AF6EE"/>
          </w:tcPr>
          <w:p>
            <w:pPr>
              <w:spacing w:after="0"/>
            </w:pPr>
            <w:r>
              <w:rPr>
                <w:rFonts w:ascii="Calibri" w:hAnsi="Calibri"/>
                <w:b/>
                <w:color w:val="1F4D78"/>
                <w:sz w:val="22"/>
              </w:rPr>
              <w:t xml:space="preserve">Aprendizaje nuevo. </w:t>
            </w:r>
            <w:r>
              <w:rPr>
                <w:rFonts w:ascii="Calibri" w:hAnsi="Calibri"/>
                <w:color w:val="203748"/>
                <w:sz w:val="22"/>
              </w:rPr>
              <w:t>La raíz del proyecto concentra configuración y documentación; src/ contiene producción y tests/ contiene especificaciones ejecutables.</w:t>
            </w:r>
          </w:p>
        </w:tc>
      </w:tr>
    </w:tbl>
    <w:p>
      <w:pPr>
        <w:spacing w:after="20"/>
      </w:pP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900"/>
        <w:gridCol w:w="7460"/>
      </w:tblGrid>
      <w:tr>
        <w:trPr>
          <w:tblHeader w:val="true"/>
        </w:trPr>
        <w:tc>
          <w:tcPr>
            <w:tcW w:type="dxa" w:w="1900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color w:val="1F4D78"/>
                <w:sz w:val="20"/>
              </w:rPr>
              <w:t>Pregunta</w:t>
            </w:r>
          </w:p>
        </w:tc>
        <w:tc>
          <w:tcPr>
            <w:tcW w:type="dxa" w:w="7460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color w:val="1F4D78"/>
                <w:sz w:val="20"/>
              </w:rPr>
              <w:t>Respuesta</w:t>
            </w:r>
          </w:p>
        </w:tc>
      </w:tr>
      <w:tr>
        <w:tc>
          <w:tcPr>
            <w:tcW w:type="dxa" w:w="1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203748"/>
                <w:sz w:val="19"/>
              </w:rPr>
              <w:t>Qué</w:t>
            </w:r>
          </w:p>
        </w:tc>
        <w:tc>
          <w:tcPr>
            <w:tcW w:type="dxa" w:w="74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203748"/>
                <w:sz w:val="19"/>
              </w:rPr>
              <w:t>La raíz del proyecto concentra configuración y documentación; src/ contiene producción y tests/ contiene especificaciones ejecutables.</w:t>
            </w:r>
          </w:p>
        </w:tc>
      </w:tr>
      <w:tr>
        <w:tc>
          <w:tcPr>
            <w:tcW w:type="dxa" w:w="1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203748"/>
                <w:sz w:val="19"/>
              </w:rPr>
              <w:t>Por qué</w:t>
            </w:r>
          </w:p>
        </w:tc>
        <w:tc>
          <w:tcPr>
            <w:tcW w:type="dxa" w:w="74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203748"/>
                <w:sz w:val="19"/>
              </w:rPr>
              <w:t>Mezclar responsabilidades dificulta imports, mantenimiento y diagnóstico.</w:t>
            </w:r>
          </w:p>
        </w:tc>
      </w:tr>
      <w:tr>
        <w:tc>
          <w:tcPr>
            <w:tcW w:type="dxa" w:w="1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203748"/>
                <w:sz w:val="19"/>
              </w:rPr>
              <w:t>Para qué</w:t>
            </w:r>
          </w:p>
        </w:tc>
        <w:tc>
          <w:tcPr>
            <w:tcW w:type="dxa" w:w="74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203748"/>
                <w:sz w:val="19"/>
              </w:rPr>
              <w:t>Dar a cada artefacto una ubicación y una dirección de dependencia claras.</w:t>
            </w:r>
          </w:p>
        </w:tc>
      </w:tr>
      <w:tr>
        <w:tc>
          <w:tcPr>
            <w:tcW w:type="dxa" w:w="1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203748"/>
                <w:sz w:val="19"/>
              </w:rPr>
              <w:t>Qué observar</w:t>
            </w:r>
          </w:p>
        </w:tc>
        <w:tc>
          <w:tcPr>
            <w:tcW w:type="dxa" w:w="74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203748"/>
                <w:sz w:val="19"/>
              </w:rPr>
              <w:t>tests/ puede importar testing_lab; testing_lab no debe importar tests/.</w:t>
            </w:r>
          </w:p>
        </w:tc>
      </w:tr>
      <w:tr>
        <w:tc>
          <w:tcPr>
            <w:tcW w:type="dxa" w:w="1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203748"/>
                <w:sz w:val="19"/>
              </w:rPr>
              <w:t>Estado</w:t>
            </w:r>
          </w:p>
        </w:tc>
        <w:tc>
          <w:tcPr>
            <w:tcW w:type="dxa" w:w="74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203748"/>
                <w:sz w:val="19"/>
              </w:rPr>
              <w:t>REALIZADO</w:t>
            </w:r>
          </w:p>
        </w:tc>
      </w:tr>
    </w:tbl>
    <w:p>
      <w:pPr>
        <w:spacing w:after="20"/>
      </w:pPr>
    </w:p>
    <w:p>
      <w:pPr>
        <w:pStyle w:val="Heading2"/>
      </w:pPr>
      <w:r>
        <w:t>Práctica guiada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rFonts w:ascii="Consolas" w:hAnsi="Consolas"/>
                <w:color w:val="202124"/>
                <w:sz w:val="18"/>
              </w:rPr>
              <w:t>Get-ChildItem -Recurse -Force</w:t>
            </w:r>
          </w:p>
        </w:tc>
      </w:tr>
    </w:tbl>
    <w:p>
      <w:pPr>
        <w:spacing w:after="20"/>
      </w:pPr>
    </w:p>
    <w:p>
      <w:pPr>
        <w:pStyle w:val="Heading2"/>
      </w:pPr>
      <w:r>
        <w:t>Criterio de avance</w:t>
      </w:r>
    </w:p>
    <w:p>
      <w:r>
        <w:t>El árbol muestra src/testing_lab, tests, README.md, pyproject.toml y .gitignore.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FFF7E6"/>
          </w:tcPr>
          <w:p>
            <w:pPr>
              <w:spacing w:after="0"/>
            </w:pPr>
            <w:r>
              <w:rPr>
                <w:rFonts w:ascii="Calibri" w:hAnsi="Calibri"/>
                <w:b/>
                <w:color w:val="1F4D78"/>
                <w:sz w:val="22"/>
              </w:rPr>
              <w:t xml:space="preserve">Pausa didáctica. </w:t>
            </w:r>
            <w:r>
              <w:rPr>
                <w:rFonts w:ascii="Calibri" w:hAnsi="Calibri"/>
                <w:color w:val="203748"/>
                <w:sz w:val="22"/>
              </w:rPr>
              <w:t>No se avanza al siguiente módulo hasta ejecutar, explicar el resultado y confirmar la actualización de este documento.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pStyle w:val="Heading1"/>
      </w:pPr>
      <w:r>
        <w:t>Módulo 2 — Entorno virtual y aislamiento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AF6EE"/>
          </w:tcPr>
          <w:p>
            <w:pPr>
              <w:spacing w:after="0"/>
            </w:pPr>
            <w:r>
              <w:rPr>
                <w:rFonts w:ascii="Calibri" w:hAnsi="Calibri"/>
                <w:b/>
                <w:color w:val="1F4D78"/>
                <w:sz w:val="22"/>
              </w:rPr>
              <w:t xml:space="preserve">Aprendizaje nuevo. </w:t>
            </w:r>
            <w:r>
              <w:rPr>
                <w:rFonts w:ascii="Calibri" w:hAnsi="Calibri"/>
                <w:color w:val="203748"/>
                <w:sz w:val="22"/>
              </w:rPr>
              <w:t>venv crea un entorno con su propio intérprete visible y su propio site-packages, apoyado en un Python base.</w:t>
            </w:r>
          </w:p>
        </w:tc>
      </w:tr>
    </w:tbl>
    <w:p>
      <w:pPr>
        <w:spacing w:after="20"/>
      </w:pP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900"/>
        <w:gridCol w:w="7460"/>
      </w:tblGrid>
      <w:tr>
        <w:trPr>
          <w:tblHeader w:val="true"/>
        </w:trPr>
        <w:tc>
          <w:tcPr>
            <w:tcW w:type="dxa" w:w="1900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color w:val="1F4D78"/>
                <w:sz w:val="20"/>
              </w:rPr>
              <w:t>Pregunta</w:t>
            </w:r>
          </w:p>
        </w:tc>
        <w:tc>
          <w:tcPr>
            <w:tcW w:type="dxa" w:w="7460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color w:val="1F4D78"/>
                <w:sz w:val="20"/>
              </w:rPr>
              <w:t>Respuesta</w:t>
            </w:r>
          </w:p>
        </w:tc>
      </w:tr>
      <w:tr>
        <w:tc>
          <w:tcPr>
            <w:tcW w:type="dxa" w:w="1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203748"/>
                <w:sz w:val="19"/>
              </w:rPr>
              <w:t>Qué</w:t>
            </w:r>
          </w:p>
        </w:tc>
        <w:tc>
          <w:tcPr>
            <w:tcW w:type="dxa" w:w="74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203748"/>
                <w:sz w:val="19"/>
              </w:rPr>
              <w:t>venv crea un entorno con su propio intérprete visible y su propio site-packages, apoyado en un Python base.</w:t>
            </w:r>
          </w:p>
        </w:tc>
      </w:tr>
      <w:tr>
        <w:tc>
          <w:tcPr>
            <w:tcW w:type="dxa" w:w="1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203748"/>
                <w:sz w:val="19"/>
              </w:rPr>
              <w:t>Por qué</w:t>
            </w:r>
          </w:p>
        </w:tc>
        <w:tc>
          <w:tcPr>
            <w:tcW w:type="dxa" w:w="74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203748"/>
                <w:sz w:val="19"/>
              </w:rPr>
              <w:t>Instalar globalmente mezcla herramientas de proyectos distintos y dificulta reproducir el entorno.</w:t>
            </w:r>
          </w:p>
        </w:tc>
      </w:tr>
      <w:tr>
        <w:tc>
          <w:tcPr>
            <w:tcW w:type="dxa" w:w="1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203748"/>
                <w:sz w:val="19"/>
              </w:rPr>
              <w:t>Para qué</w:t>
            </w:r>
          </w:p>
        </w:tc>
        <w:tc>
          <w:tcPr>
            <w:tcW w:type="dxa" w:w="74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203748"/>
                <w:sz w:val="19"/>
              </w:rPr>
              <w:t>Aislar dependencias y comprobar exactamente qué intérprete ejecuta los comandos.</w:t>
            </w:r>
          </w:p>
        </w:tc>
      </w:tr>
      <w:tr>
        <w:tc>
          <w:tcPr>
            <w:tcW w:type="dxa" w:w="1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203748"/>
                <w:sz w:val="19"/>
              </w:rPr>
              <w:t>Qué observar</w:t>
            </w:r>
          </w:p>
        </w:tc>
        <w:tc>
          <w:tcPr>
            <w:tcW w:type="dxa" w:w="74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203748"/>
                <w:sz w:val="19"/>
              </w:rPr>
              <w:t>El prefijo (.venv) no basta: sys.executable es la evidencia.</w:t>
            </w:r>
          </w:p>
        </w:tc>
      </w:tr>
      <w:tr>
        <w:tc>
          <w:tcPr>
            <w:tcW w:type="dxa" w:w="1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203748"/>
                <w:sz w:val="19"/>
              </w:rPr>
              <w:t>Estado</w:t>
            </w:r>
          </w:p>
        </w:tc>
        <w:tc>
          <w:tcPr>
            <w:tcW w:type="dxa" w:w="74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203748"/>
                <w:sz w:val="19"/>
              </w:rPr>
              <w:t>REALIZADO</w:t>
            </w:r>
          </w:p>
        </w:tc>
      </w:tr>
    </w:tbl>
    <w:p>
      <w:pPr>
        <w:spacing w:after="20"/>
      </w:pPr>
    </w:p>
    <w:p>
      <w:pPr>
        <w:pStyle w:val="Heading2"/>
      </w:pPr>
      <w:r>
        <w:t>Práctica guiada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rFonts w:ascii="Consolas" w:hAnsi="Consolas"/>
                <w:color w:val="202124"/>
                <w:sz w:val="18"/>
              </w:rPr>
              <w:t>.\.venv\Scripts\Activate.ps1</w:t>
            </w:r>
            <w:r>
              <w:br/>
            </w:r>
            <w:r>
              <w:rPr>
                <w:rFonts w:ascii="Consolas" w:hAnsi="Consolas"/>
                <w:color w:val="202124"/>
                <w:sz w:val="18"/>
              </w:rPr>
              <w:t>python -c "import sys; print(sys.executable)"</w:t>
            </w:r>
            <w:r>
              <w:br/>
            </w:r>
            <w:r>
              <w:rPr>
                <w:rFonts w:ascii="Consolas" w:hAnsi="Consolas"/>
                <w:color w:val="202124"/>
                <w:sz w:val="18"/>
              </w:rPr>
              <w:t>python -m pip list</w:t>
            </w:r>
          </w:p>
        </w:tc>
      </w:tr>
    </w:tbl>
    <w:p>
      <w:pPr>
        <w:spacing w:after="20"/>
      </w:pPr>
    </w:p>
    <w:p>
      <w:pPr>
        <w:pStyle w:val="Heading2"/>
      </w:pPr>
      <w:r>
        <w:t>Criterio de avance</w:t>
      </w:r>
    </w:p>
    <w:p>
      <w:r>
        <w:t>sys.executable termina en laboratorio_testing\.venv\Scripts\python.exe y aún no hay dependencias de testing.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FFF7E6"/>
          </w:tcPr>
          <w:p>
            <w:pPr>
              <w:spacing w:after="0"/>
            </w:pPr>
            <w:r>
              <w:rPr>
                <w:rFonts w:ascii="Calibri" w:hAnsi="Calibri"/>
                <w:b/>
                <w:color w:val="1F4D78"/>
                <w:sz w:val="22"/>
              </w:rPr>
              <w:t xml:space="preserve">Pausa didáctica. </w:t>
            </w:r>
            <w:r>
              <w:rPr>
                <w:rFonts w:ascii="Calibri" w:hAnsi="Calibri"/>
                <w:color w:val="203748"/>
                <w:sz w:val="22"/>
              </w:rPr>
              <w:t>No se avanza al siguiente módulo hasta ejecutar, explicar el resultado y confirmar la actualización de este documento.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pStyle w:val="Heading1"/>
      </w:pPr>
      <w:r>
        <w:t>Módulo 3 — Git, .gitignore y pyproject.toml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F4F6F9"/>
          </w:tcPr>
          <w:p>
            <w:pPr>
              <w:spacing w:after="0"/>
            </w:pPr>
            <w:r>
              <w:rPr>
                <w:rFonts w:ascii="Calibri" w:hAnsi="Calibri"/>
                <w:b/>
                <w:color w:val="1F4D78"/>
                <w:sz w:val="22"/>
              </w:rPr>
              <w:t xml:space="preserve">Aprendizaje nuevo. </w:t>
            </w:r>
            <w:r>
              <w:rPr>
                <w:rFonts w:ascii="Calibri" w:hAnsi="Calibri"/>
                <w:color w:val="203748"/>
                <w:sz w:val="22"/>
              </w:rPr>
              <w:t>Git conserva decisiones; .gitignore excluye residuos; pyproject.toml declara identidad, construcción y compatibilidad.</w:t>
            </w:r>
          </w:p>
        </w:tc>
      </w:tr>
    </w:tbl>
    <w:p>
      <w:pPr>
        <w:spacing w:after="20"/>
      </w:pP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900"/>
        <w:gridCol w:w="7460"/>
      </w:tblGrid>
      <w:tr>
        <w:trPr>
          <w:tblHeader w:val="true"/>
        </w:trPr>
        <w:tc>
          <w:tcPr>
            <w:tcW w:type="dxa" w:w="1900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color w:val="1F4D78"/>
                <w:sz w:val="20"/>
              </w:rPr>
              <w:t>Pregunta</w:t>
            </w:r>
          </w:p>
        </w:tc>
        <w:tc>
          <w:tcPr>
            <w:tcW w:type="dxa" w:w="7460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color w:val="1F4D78"/>
                <w:sz w:val="20"/>
              </w:rPr>
              <w:t>Respuesta</w:t>
            </w:r>
          </w:p>
        </w:tc>
      </w:tr>
      <w:tr>
        <w:tc>
          <w:tcPr>
            <w:tcW w:type="dxa" w:w="1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203748"/>
                <w:sz w:val="19"/>
              </w:rPr>
              <w:t>Qué</w:t>
            </w:r>
          </w:p>
        </w:tc>
        <w:tc>
          <w:tcPr>
            <w:tcW w:type="dxa" w:w="74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203748"/>
                <w:sz w:val="19"/>
              </w:rPr>
              <w:t>Git conserva decisiones; .gitignore excluye residuos; pyproject.toml declara identidad, construcción y compatibilidad.</w:t>
            </w:r>
          </w:p>
        </w:tc>
      </w:tr>
      <w:tr>
        <w:tc>
          <w:tcPr>
            <w:tcW w:type="dxa" w:w="1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203748"/>
                <w:sz w:val="19"/>
              </w:rPr>
              <w:t>Por qué</w:t>
            </w:r>
          </w:p>
        </w:tc>
        <w:tc>
          <w:tcPr>
            <w:tcW w:type="dxa" w:w="74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203748"/>
                <w:sz w:val="19"/>
              </w:rPr>
              <w:t>Un repositorio limpio debe registrar fuentes y configuración, no entornos o cachés generadas.</w:t>
            </w:r>
          </w:p>
        </w:tc>
      </w:tr>
      <w:tr>
        <w:tc>
          <w:tcPr>
            <w:tcW w:type="dxa" w:w="1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203748"/>
                <w:sz w:val="19"/>
              </w:rPr>
              <w:t>Para qué</w:t>
            </w:r>
          </w:p>
        </w:tc>
        <w:tc>
          <w:tcPr>
            <w:tcW w:type="dxa" w:w="74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203748"/>
                <w:sz w:val="19"/>
              </w:rPr>
              <w:t>Hacer el proyecto trazable, instalable y reproducible.</w:t>
            </w:r>
          </w:p>
        </w:tc>
      </w:tr>
      <w:tr>
        <w:tc>
          <w:tcPr>
            <w:tcW w:type="dxa" w:w="1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203748"/>
                <w:sz w:val="19"/>
              </w:rPr>
              <w:t>Qué observar</w:t>
            </w:r>
          </w:p>
        </w:tc>
        <w:tc>
          <w:tcPr>
            <w:tcW w:type="dxa" w:w="74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203748"/>
                <w:sz w:val="19"/>
              </w:rPr>
              <w:t>El remoto origin existe, el árbol está limpio y src es la ubicación declarada de paquetes.</w:t>
            </w:r>
          </w:p>
        </w:tc>
      </w:tr>
      <w:tr>
        <w:tc>
          <w:tcPr>
            <w:tcW w:type="dxa" w:w="1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203748"/>
                <w:sz w:val="19"/>
              </w:rPr>
              <w:t>Estado</w:t>
            </w:r>
          </w:p>
        </w:tc>
        <w:tc>
          <w:tcPr>
            <w:tcW w:type="dxa" w:w="74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203748"/>
                <w:sz w:val="19"/>
              </w:rPr>
              <w:t>EN CURSO</w:t>
            </w:r>
          </w:p>
        </w:tc>
      </w:tr>
    </w:tbl>
    <w:p>
      <w:pPr>
        <w:spacing w:after="20"/>
      </w:pPr>
    </w:p>
    <w:p>
      <w:pPr>
        <w:pStyle w:val="Heading2"/>
      </w:pPr>
      <w:r>
        <w:t>Práctica guiada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rFonts w:ascii="Consolas" w:hAnsi="Consolas"/>
                <w:color w:val="202124"/>
                <w:sz w:val="18"/>
              </w:rPr>
              <w:t>git status --short</w:t>
            </w:r>
            <w:r>
              <w:br/>
            </w:r>
            <w:r>
              <w:rPr>
                <w:rFonts w:ascii="Consolas" w:hAnsi="Consolas"/>
                <w:color w:val="202124"/>
                <w:sz w:val="18"/>
              </w:rPr>
              <w:t>git remote -v</w:t>
            </w:r>
            <w:r>
              <w:br/>
            </w:r>
            <w:r>
              <w:rPr>
                <w:rFonts w:ascii="Consolas" w:hAnsi="Consolas"/>
                <w:color w:val="202124"/>
                <w:sz w:val="18"/>
              </w:rPr>
              <w:t>Get-Content .gitignore</w:t>
            </w:r>
            <w:r>
              <w:br/>
            </w:r>
            <w:r>
              <w:rPr>
                <w:rFonts w:ascii="Consolas" w:hAnsi="Consolas"/>
                <w:color w:val="202124"/>
                <w:sz w:val="18"/>
              </w:rPr>
              <w:t>Get-Content pyproject.toml</w:t>
            </w:r>
          </w:p>
        </w:tc>
      </w:tr>
    </w:tbl>
    <w:p>
      <w:pPr>
        <w:spacing w:after="20"/>
      </w:pPr>
    </w:p>
    <w:p>
      <w:pPr>
        <w:pStyle w:val="Heading2"/>
      </w:pPr>
      <w:r>
        <w:t>Criterio de avance</w:t>
      </w:r>
    </w:p>
    <w:p>
      <w:r>
        <w:t>Puedes explicar qué pertenece al repositorio, qué se regenera y por qué src requiere descubrimiento de paquetes.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FFF7E6"/>
          </w:tcPr>
          <w:p>
            <w:pPr>
              <w:spacing w:after="0"/>
            </w:pPr>
            <w:r>
              <w:rPr>
                <w:rFonts w:ascii="Calibri" w:hAnsi="Calibri"/>
                <w:b/>
                <w:color w:val="1F4D78"/>
                <w:sz w:val="22"/>
              </w:rPr>
              <w:t xml:space="preserve">Pausa didáctica. </w:t>
            </w:r>
            <w:r>
              <w:rPr>
                <w:rFonts w:ascii="Calibri" w:hAnsi="Calibri"/>
                <w:color w:val="203748"/>
                <w:sz w:val="22"/>
              </w:rPr>
              <w:t>No se avanza al siguiente módulo hasta ejecutar, explicar el resultado y confirmar la actualización de este documento.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pStyle w:val="Heading1"/>
      </w:pPr>
      <w:r>
        <w:t>Módulo 4 — Dependencias y primera instalación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F4F6F9"/>
          </w:tcPr>
          <w:p>
            <w:pPr>
              <w:spacing w:after="0"/>
            </w:pPr>
            <w:r>
              <w:rPr>
                <w:rFonts w:ascii="Calibri" w:hAnsi="Calibri"/>
                <w:b/>
                <w:color w:val="1F4D78"/>
                <w:sz w:val="22"/>
              </w:rPr>
              <w:t xml:space="preserve">Aprendizaje nuevo. </w:t>
            </w:r>
            <w:r>
              <w:rPr>
                <w:rFonts w:ascii="Calibri" w:hAnsi="Calibri"/>
                <w:color w:val="203748"/>
                <w:sz w:val="22"/>
              </w:rPr>
              <w:t>Una dependencia productiva permite ejecutar la aplicación; una dependencia de desarrollo ayuda a construir, probar o analizarla.</w:t>
            </w:r>
          </w:p>
        </w:tc>
      </w:tr>
    </w:tbl>
    <w:p>
      <w:pPr>
        <w:spacing w:after="20"/>
      </w:pP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900"/>
        <w:gridCol w:w="7460"/>
      </w:tblGrid>
      <w:tr>
        <w:trPr>
          <w:tblHeader w:val="true"/>
        </w:trPr>
        <w:tc>
          <w:tcPr>
            <w:tcW w:type="dxa" w:w="1900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color w:val="1F4D78"/>
                <w:sz w:val="20"/>
              </w:rPr>
              <w:t>Pregunta</w:t>
            </w:r>
          </w:p>
        </w:tc>
        <w:tc>
          <w:tcPr>
            <w:tcW w:type="dxa" w:w="7460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color w:val="1F4D78"/>
                <w:sz w:val="20"/>
              </w:rPr>
              <w:t>Respuesta</w:t>
            </w:r>
          </w:p>
        </w:tc>
      </w:tr>
      <w:tr>
        <w:tc>
          <w:tcPr>
            <w:tcW w:type="dxa" w:w="1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203748"/>
                <w:sz w:val="19"/>
              </w:rPr>
              <w:t>Qué</w:t>
            </w:r>
          </w:p>
        </w:tc>
        <w:tc>
          <w:tcPr>
            <w:tcW w:type="dxa" w:w="74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203748"/>
                <w:sz w:val="19"/>
              </w:rPr>
              <w:t>Una dependencia productiva permite ejecutar la aplicación; una dependencia de desarrollo ayuda a construir, probar o analizarla.</w:t>
            </w:r>
          </w:p>
        </w:tc>
      </w:tr>
      <w:tr>
        <w:tc>
          <w:tcPr>
            <w:tcW w:type="dxa" w:w="1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203748"/>
                <w:sz w:val="19"/>
              </w:rPr>
              <w:t>Por qué</w:t>
            </w:r>
          </w:p>
        </w:tc>
        <w:tc>
          <w:tcPr>
            <w:tcW w:type="dxa" w:w="74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203748"/>
                <w:sz w:val="19"/>
              </w:rPr>
              <w:t>Instalar herramientas sin clasificarlas oculta qué necesita realmente el programa.</w:t>
            </w:r>
          </w:p>
        </w:tc>
      </w:tr>
      <w:tr>
        <w:tc>
          <w:tcPr>
            <w:tcW w:type="dxa" w:w="1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203748"/>
                <w:sz w:val="19"/>
              </w:rPr>
              <w:t>Para qué</w:t>
            </w:r>
          </w:p>
        </w:tc>
        <w:tc>
          <w:tcPr>
            <w:tcW w:type="dxa" w:w="74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203748"/>
                <w:sz w:val="19"/>
              </w:rPr>
              <w:t>Declarar pytest como herramienta de desarrollo y conservar producción sin dependencias innecesarias.</w:t>
            </w:r>
          </w:p>
        </w:tc>
      </w:tr>
      <w:tr>
        <w:tc>
          <w:tcPr>
            <w:tcW w:type="dxa" w:w="1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203748"/>
                <w:sz w:val="19"/>
              </w:rPr>
              <w:t>Qué observar</w:t>
            </w:r>
          </w:p>
        </w:tc>
        <w:tc>
          <w:tcPr>
            <w:tcW w:type="dxa" w:w="74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203748"/>
                <w:sz w:val="19"/>
              </w:rPr>
              <w:t>pip debe apuntar a la .venv y pytest debe tener una versión verificable.</w:t>
            </w:r>
          </w:p>
        </w:tc>
      </w:tr>
      <w:tr>
        <w:tc>
          <w:tcPr>
            <w:tcW w:type="dxa" w:w="1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203748"/>
                <w:sz w:val="19"/>
              </w:rPr>
              <w:t>Estado</w:t>
            </w:r>
          </w:p>
        </w:tc>
        <w:tc>
          <w:tcPr>
            <w:tcW w:type="dxa" w:w="74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203748"/>
                <w:sz w:val="19"/>
              </w:rPr>
              <w:t>PENDIENTE</w:t>
            </w:r>
          </w:p>
        </w:tc>
      </w:tr>
    </w:tbl>
    <w:p>
      <w:pPr>
        <w:spacing w:after="20"/>
      </w:pPr>
    </w:p>
    <w:p>
      <w:pPr>
        <w:pStyle w:val="Heading2"/>
      </w:pPr>
      <w:r>
        <w:t>Práctica guiada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rFonts w:ascii="Consolas" w:hAnsi="Consolas"/>
                <w:color w:val="202124"/>
                <w:sz w:val="18"/>
              </w:rPr>
              <w:t>python -m pip --version</w:t>
            </w:r>
            <w:r>
              <w:br/>
            </w:r>
            <w:r>
              <w:rPr>
                <w:rFonts w:ascii="Consolas" w:hAnsi="Consolas"/>
                <w:color w:val="202124"/>
                <w:sz w:val="18"/>
              </w:rPr>
              <w:t># La instalación se decidirá y ejecutará en este módulo</w:t>
            </w:r>
            <w:r>
              <w:br/>
            </w:r>
            <w:r>
              <w:rPr>
                <w:rFonts w:ascii="Consolas" w:hAnsi="Consolas"/>
                <w:color w:val="202124"/>
                <w:sz w:val="18"/>
              </w:rPr>
              <w:t>python -m pytest --version</w:t>
            </w:r>
          </w:p>
        </w:tc>
      </w:tr>
    </w:tbl>
    <w:p>
      <w:pPr>
        <w:spacing w:after="20"/>
      </w:pPr>
    </w:p>
    <w:p>
      <w:pPr>
        <w:pStyle w:val="Heading2"/>
      </w:pPr>
      <w:r>
        <w:t>Criterio de avance</w:t>
      </w:r>
    </w:p>
    <w:p>
      <w:r>
        <w:t>Puedes justificar dónde se declara pytest y mostrar que se instaló únicamente en la .venv.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FFF7E6"/>
          </w:tcPr>
          <w:p>
            <w:pPr>
              <w:spacing w:after="0"/>
            </w:pPr>
            <w:r>
              <w:rPr>
                <w:rFonts w:ascii="Calibri" w:hAnsi="Calibri"/>
                <w:b/>
                <w:color w:val="1F4D78"/>
                <w:sz w:val="22"/>
              </w:rPr>
              <w:t xml:space="preserve">Pausa didáctica. </w:t>
            </w:r>
            <w:r>
              <w:rPr>
                <w:rFonts w:ascii="Calibri" w:hAnsi="Calibri"/>
                <w:color w:val="203748"/>
                <w:sz w:val="22"/>
              </w:rPr>
              <w:t>No se avanza al siguiente módulo hasta ejecutar, explicar el resultado y confirmar la actualización de este documento.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pStyle w:val="Heading1"/>
      </w:pPr>
      <w:r>
        <w:t>Módulo 5 — Primera función y primera prueba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F4F6F9"/>
          </w:tcPr>
          <w:p>
            <w:pPr>
              <w:spacing w:after="0"/>
            </w:pPr>
            <w:r>
              <w:rPr>
                <w:rFonts w:ascii="Calibri" w:hAnsi="Calibri"/>
                <w:b/>
                <w:color w:val="1F4D78"/>
                <w:sz w:val="22"/>
              </w:rPr>
              <w:t xml:space="preserve">Aprendizaje nuevo. </w:t>
            </w:r>
            <w:r>
              <w:rPr>
                <w:rFonts w:ascii="Calibri" w:hAnsi="Calibri"/>
                <w:color w:val="203748"/>
                <w:sz w:val="22"/>
              </w:rPr>
              <w:t>Una prueba automatizada prepara una situación, ejecuta una acción y compara el resultado con una expectativa.</w:t>
            </w:r>
          </w:p>
        </w:tc>
      </w:tr>
    </w:tbl>
    <w:p>
      <w:pPr>
        <w:spacing w:after="20"/>
      </w:pP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900"/>
        <w:gridCol w:w="7460"/>
      </w:tblGrid>
      <w:tr>
        <w:trPr>
          <w:tblHeader w:val="true"/>
        </w:trPr>
        <w:tc>
          <w:tcPr>
            <w:tcW w:type="dxa" w:w="1900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color w:val="1F4D78"/>
                <w:sz w:val="20"/>
              </w:rPr>
              <w:t>Pregunta</w:t>
            </w:r>
          </w:p>
        </w:tc>
        <w:tc>
          <w:tcPr>
            <w:tcW w:type="dxa" w:w="7460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color w:val="1F4D78"/>
                <w:sz w:val="20"/>
              </w:rPr>
              <w:t>Respuesta</w:t>
            </w:r>
          </w:p>
        </w:tc>
      </w:tr>
      <w:tr>
        <w:tc>
          <w:tcPr>
            <w:tcW w:type="dxa" w:w="1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203748"/>
                <w:sz w:val="19"/>
              </w:rPr>
              <w:t>Qué</w:t>
            </w:r>
          </w:p>
        </w:tc>
        <w:tc>
          <w:tcPr>
            <w:tcW w:type="dxa" w:w="74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203748"/>
                <w:sz w:val="19"/>
              </w:rPr>
              <w:t>Una prueba automatizada prepara una situación, ejecuta una acción y compara el resultado con una expectativa.</w:t>
            </w:r>
          </w:p>
        </w:tc>
      </w:tr>
      <w:tr>
        <w:tc>
          <w:tcPr>
            <w:tcW w:type="dxa" w:w="1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203748"/>
                <w:sz w:val="19"/>
              </w:rPr>
              <w:t>Por qué</w:t>
            </w:r>
          </w:p>
        </w:tc>
        <w:tc>
          <w:tcPr>
            <w:tcW w:type="dxa" w:w="74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203748"/>
                <w:sz w:val="19"/>
              </w:rPr>
              <w:t>Una prueba sin contrato reconocible puede pasar y no proteger una regla útil.</w:t>
            </w:r>
          </w:p>
        </w:tc>
      </w:tr>
      <w:tr>
        <w:tc>
          <w:tcPr>
            <w:tcW w:type="dxa" w:w="1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203748"/>
                <w:sz w:val="19"/>
              </w:rPr>
              <w:t>Para qué</w:t>
            </w:r>
          </w:p>
        </w:tc>
        <w:tc>
          <w:tcPr>
            <w:tcW w:type="dxa" w:w="74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203748"/>
                <w:sz w:val="19"/>
              </w:rPr>
              <w:t>Aprender Arrange–Act–Assert y el uso de assert con diagnóstico de pytest.</w:t>
            </w:r>
          </w:p>
        </w:tc>
      </w:tr>
      <w:tr>
        <w:tc>
          <w:tcPr>
            <w:tcW w:type="dxa" w:w="1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203748"/>
                <w:sz w:val="19"/>
              </w:rPr>
              <w:t>Qué observar</w:t>
            </w:r>
          </w:p>
        </w:tc>
        <w:tc>
          <w:tcPr>
            <w:tcW w:type="dxa" w:w="74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203748"/>
                <w:sz w:val="19"/>
              </w:rPr>
              <w:t>El nombre expresa situación y expectativa; Act contiene una sola acción principal.</w:t>
            </w:r>
          </w:p>
        </w:tc>
      </w:tr>
      <w:tr>
        <w:tc>
          <w:tcPr>
            <w:tcW w:type="dxa" w:w="1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203748"/>
                <w:sz w:val="19"/>
              </w:rPr>
              <w:t>Estado</w:t>
            </w:r>
          </w:p>
        </w:tc>
        <w:tc>
          <w:tcPr>
            <w:tcW w:type="dxa" w:w="74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203748"/>
                <w:sz w:val="19"/>
              </w:rPr>
              <w:t>PENDIENTE</w:t>
            </w:r>
          </w:p>
        </w:tc>
      </w:tr>
    </w:tbl>
    <w:p>
      <w:pPr>
        <w:spacing w:after="20"/>
      </w:pPr>
    </w:p>
    <w:p>
      <w:pPr>
        <w:pStyle w:val="Heading2"/>
      </w:pPr>
      <w:r>
        <w:t>Práctica guiada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rFonts w:ascii="Consolas" w:hAnsi="Consolas"/>
                <w:color w:val="202124"/>
                <w:sz w:val="18"/>
              </w:rPr>
              <w:t>def test_normalize_removes_outer_spaces():</w:t>
            </w:r>
            <w:r>
              <w:br/>
            </w:r>
            <w:r>
              <w:rPr>
                <w:rFonts w:ascii="Consolas" w:hAnsi="Consolas"/>
                <w:color w:val="202124"/>
                <w:sz w:val="18"/>
              </w:rPr>
              <w:t xml:space="preserve">    value = '  Hola  '       # Arrange</w:t>
            </w:r>
            <w:r>
              <w:br/>
            </w:r>
            <w:r>
              <w:rPr>
                <w:rFonts w:ascii="Consolas" w:hAnsi="Consolas"/>
                <w:color w:val="202124"/>
                <w:sz w:val="18"/>
              </w:rPr>
              <w:t xml:space="preserve">    result = normalize_text(value)  # Act</w:t>
            </w:r>
            <w:r>
              <w:br/>
            </w:r>
            <w:r>
              <w:rPr>
                <w:rFonts w:ascii="Consolas" w:hAnsi="Consolas"/>
                <w:color w:val="202124"/>
                <w:sz w:val="18"/>
              </w:rPr>
              <w:t xml:space="preserve">    assert result == 'hola'  # Assert</w:t>
            </w:r>
          </w:p>
        </w:tc>
      </w:tr>
    </w:tbl>
    <w:p>
      <w:pPr>
        <w:spacing w:after="20"/>
      </w:pPr>
    </w:p>
    <w:p>
      <w:pPr>
        <w:pStyle w:val="Heading2"/>
      </w:pPr>
      <w:r>
        <w:t>Criterio de avance</w:t>
      </w:r>
    </w:p>
    <w:p>
      <w:r>
        <w:t>Puedes señalar las tres fases y explicar el contrato protegido.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FFF7E6"/>
          </w:tcPr>
          <w:p>
            <w:pPr>
              <w:spacing w:after="0"/>
            </w:pPr>
            <w:r>
              <w:rPr>
                <w:rFonts w:ascii="Calibri" w:hAnsi="Calibri"/>
                <w:b/>
                <w:color w:val="1F4D78"/>
                <w:sz w:val="22"/>
              </w:rPr>
              <w:t xml:space="preserve">Pausa didáctica. </w:t>
            </w:r>
            <w:r>
              <w:rPr>
                <w:rFonts w:ascii="Calibri" w:hAnsi="Calibri"/>
                <w:color w:val="203748"/>
                <w:sz w:val="22"/>
              </w:rPr>
              <w:t>No se avanza al siguiente módulo hasta ejecutar, explicar el resultado y confirmar la actualización de este documento.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pStyle w:val="Heading1"/>
      </w:pPr>
      <w:r>
        <w:t>Módulo 6 — Descubrimiento, ejecución y fallo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F4F6F9"/>
          </w:tcPr>
          <w:p>
            <w:pPr>
              <w:spacing w:after="0"/>
            </w:pPr>
            <w:r>
              <w:rPr>
                <w:rFonts w:ascii="Calibri" w:hAnsi="Calibri"/>
                <w:b/>
                <w:color w:val="1F4D78"/>
                <w:sz w:val="22"/>
              </w:rPr>
              <w:t xml:space="preserve">Aprendizaje nuevo. </w:t>
            </w:r>
            <w:r>
              <w:rPr>
                <w:rFonts w:ascii="Calibri" w:hAnsi="Calibri"/>
                <w:color w:val="203748"/>
                <w:sz w:val="22"/>
              </w:rPr>
              <w:t>pytest recoge pruebas según convenciones y presenta node IDs, estados y trazas.</w:t>
            </w:r>
          </w:p>
        </w:tc>
      </w:tr>
    </w:tbl>
    <w:p>
      <w:pPr>
        <w:spacing w:after="20"/>
      </w:pP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900"/>
        <w:gridCol w:w="7460"/>
      </w:tblGrid>
      <w:tr>
        <w:trPr>
          <w:tblHeader w:val="true"/>
        </w:trPr>
        <w:tc>
          <w:tcPr>
            <w:tcW w:type="dxa" w:w="1900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color w:val="1F4D78"/>
                <w:sz w:val="20"/>
              </w:rPr>
              <w:t>Pregunta</w:t>
            </w:r>
          </w:p>
        </w:tc>
        <w:tc>
          <w:tcPr>
            <w:tcW w:type="dxa" w:w="7460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color w:val="1F4D78"/>
                <w:sz w:val="20"/>
              </w:rPr>
              <w:t>Respuesta</w:t>
            </w:r>
          </w:p>
        </w:tc>
      </w:tr>
      <w:tr>
        <w:tc>
          <w:tcPr>
            <w:tcW w:type="dxa" w:w="1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203748"/>
                <w:sz w:val="19"/>
              </w:rPr>
              <w:t>Qué</w:t>
            </w:r>
          </w:p>
        </w:tc>
        <w:tc>
          <w:tcPr>
            <w:tcW w:type="dxa" w:w="74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203748"/>
                <w:sz w:val="19"/>
              </w:rPr>
              <w:t>pytest recoge pruebas según convenciones y presenta node IDs, estados y trazas.</w:t>
            </w:r>
          </w:p>
        </w:tc>
      </w:tr>
      <w:tr>
        <w:tc>
          <w:tcPr>
            <w:tcW w:type="dxa" w:w="1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203748"/>
                <w:sz w:val="19"/>
              </w:rPr>
              <w:t>Por qué</w:t>
            </w:r>
          </w:p>
        </w:tc>
        <w:tc>
          <w:tcPr>
            <w:tcW w:type="dxa" w:w="74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203748"/>
                <w:sz w:val="19"/>
              </w:rPr>
              <w:t>Saber escribir una prueba no basta: hay que confirmar que el runner la descubre.</w:t>
            </w:r>
          </w:p>
        </w:tc>
      </w:tr>
      <w:tr>
        <w:tc>
          <w:tcPr>
            <w:tcW w:type="dxa" w:w="1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203748"/>
                <w:sz w:val="19"/>
              </w:rPr>
              <w:t>Para qué</w:t>
            </w:r>
          </w:p>
        </w:tc>
        <w:tc>
          <w:tcPr>
            <w:tcW w:type="dxa" w:w="74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203748"/>
                <w:sz w:val="19"/>
              </w:rPr>
              <w:t>Distinguir colección, ejecución, FAILED y ERROR.</w:t>
            </w:r>
          </w:p>
        </w:tc>
      </w:tr>
      <w:tr>
        <w:tc>
          <w:tcPr>
            <w:tcW w:type="dxa" w:w="1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203748"/>
                <w:sz w:val="19"/>
              </w:rPr>
              <w:t>Qué observar</w:t>
            </w:r>
          </w:p>
        </w:tc>
        <w:tc>
          <w:tcPr>
            <w:tcW w:type="dxa" w:w="74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203748"/>
                <w:sz w:val="19"/>
              </w:rPr>
              <w:t>Un fallo esperado debe localizar valores observados; un error puede ocurrir antes del assert.</w:t>
            </w:r>
          </w:p>
        </w:tc>
      </w:tr>
      <w:tr>
        <w:tc>
          <w:tcPr>
            <w:tcW w:type="dxa" w:w="1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203748"/>
                <w:sz w:val="19"/>
              </w:rPr>
              <w:t>Estado</w:t>
            </w:r>
          </w:p>
        </w:tc>
        <w:tc>
          <w:tcPr>
            <w:tcW w:type="dxa" w:w="74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203748"/>
                <w:sz w:val="19"/>
              </w:rPr>
              <w:t>PENDIENTE</w:t>
            </w:r>
          </w:p>
        </w:tc>
      </w:tr>
    </w:tbl>
    <w:p>
      <w:pPr>
        <w:spacing w:after="20"/>
      </w:pPr>
    </w:p>
    <w:p>
      <w:pPr>
        <w:pStyle w:val="Heading2"/>
      </w:pPr>
      <w:r>
        <w:t>Práctica guiada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rFonts w:ascii="Consolas" w:hAnsi="Consolas"/>
                <w:color w:val="202124"/>
                <w:sz w:val="18"/>
              </w:rPr>
              <w:t>python -m pytest --collect-only -q</w:t>
            </w:r>
            <w:r>
              <w:br/>
            </w:r>
            <w:r>
              <w:rPr>
                <w:rFonts w:ascii="Consolas" w:hAnsi="Consolas"/>
                <w:color w:val="202124"/>
                <w:sz w:val="18"/>
              </w:rPr>
              <w:t>python -m pytest -v</w:t>
            </w:r>
            <w:r>
              <w:br/>
            </w:r>
            <w:r>
              <w:rPr>
                <w:rFonts w:ascii="Consolas" w:hAnsi="Consolas"/>
                <w:color w:val="202124"/>
                <w:sz w:val="18"/>
              </w:rPr>
              <w:t># provocar un fallo controlado y leerlo</w:t>
            </w:r>
          </w:p>
        </w:tc>
      </w:tr>
    </w:tbl>
    <w:p>
      <w:pPr>
        <w:spacing w:after="20"/>
      </w:pPr>
    </w:p>
    <w:p>
      <w:pPr>
        <w:pStyle w:val="Heading2"/>
      </w:pPr>
      <w:r>
        <w:t>Criterio de avance</w:t>
      </w:r>
    </w:p>
    <w:p>
      <w:r>
        <w:t>Puedes explicar cada parte del node ID y la diferencia entre FAILED y ERROR.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FFF7E6"/>
          </w:tcPr>
          <w:p>
            <w:pPr>
              <w:spacing w:after="0"/>
            </w:pPr>
            <w:r>
              <w:rPr>
                <w:rFonts w:ascii="Calibri" w:hAnsi="Calibri"/>
                <w:b/>
                <w:color w:val="1F4D78"/>
                <w:sz w:val="22"/>
              </w:rPr>
              <w:t xml:space="preserve">Pausa didáctica. </w:t>
            </w:r>
            <w:r>
              <w:rPr>
                <w:rFonts w:ascii="Calibri" w:hAnsi="Calibri"/>
                <w:color w:val="203748"/>
                <w:sz w:val="22"/>
              </w:rPr>
              <w:t>No se avanza al siguiente módulo hasta ejecutar, explicar el resultado y confirmar la actualización de este documento.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pStyle w:val="Heading1"/>
      </w:pPr>
      <w:r>
        <w:t>Módulo 7 — Particiones y valores límite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F4F6F9"/>
          </w:tcPr>
          <w:p>
            <w:pPr>
              <w:spacing w:after="0"/>
            </w:pPr>
            <w:r>
              <w:rPr>
                <w:rFonts w:ascii="Calibri" w:hAnsi="Calibri"/>
                <w:b/>
                <w:color w:val="1F4D78"/>
                <w:sz w:val="22"/>
              </w:rPr>
              <w:t xml:space="preserve">Aprendizaje nuevo. </w:t>
            </w:r>
            <w:r>
              <w:rPr>
                <w:rFonts w:ascii="Calibri" w:hAnsi="Calibri"/>
                <w:color w:val="203748"/>
                <w:sz w:val="22"/>
              </w:rPr>
              <w:t>Las particiones agrupan entradas con comportamiento equivalente; los límites prueban donde cambia la regla.</w:t>
            </w:r>
          </w:p>
        </w:tc>
      </w:tr>
    </w:tbl>
    <w:p>
      <w:pPr>
        <w:spacing w:after="20"/>
      </w:pP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900"/>
        <w:gridCol w:w="7460"/>
      </w:tblGrid>
      <w:tr>
        <w:trPr>
          <w:tblHeader w:val="true"/>
        </w:trPr>
        <w:tc>
          <w:tcPr>
            <w:tcW w:type="dxa" w:w="1900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color w:val="1F4D78"/>
                <w:sz w:val="20"/>
              </w:rPr>
              <w:t>Pregunta</w:t>
            </w:r>
          </w:p>
        </w:tc>
        <w:tc>
          <w:tcPr>
            <w:tcW w:type="dxa" w:w="7460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color w:val="1F4D78"/>
                <w:sz w:val="20"/>
              </w:rPr>
              <w:t>Respuesta</w:t>
            </w:r>
          </w:p>
        </w:tc>
      </w:tr>
      <w:tr>
        <w:tc>
          <w:tcPr>
            <w:tcW w:type="dxa" w:w="1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203748"/>
                <w:sz w:val="19"/>
              </w:rPr>
              <w:t>Qué</w:t>
            </w:r>
          </w:p>
        </w:tc>
        <w:tc>
          <w:tcPr>
            <w:tcW w:type="dxa" w:w="74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203748"/>
                <w:sz w:val="19"/>
              </w:rPr>
              <w:t>Las particiones agrupan entradas con comportamiento equivalente; los límites prueban donde cambia la regla.</w:t>
            </w:r>
          </w:p>
        </w:tc>
      </w:tr>
      <w:tr>
        <w:tc>
          <w:tcPr>
            <w:tcW w:type="dxa" w:w="1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203748"/>
                <w:sz w:val="19"/>
              </w:rPr>
              <w:t>Por qué</w:t>
            </w:r>
          </w:p>
        </w:tc>
        <w:tc>
          <w:tcPr>
            <w:tcW w:type="dxa" w:w="74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203748"/>
                <w:sz w:val="19"/>
              </w:rPr>
              <w:t>Probar muchos valores del mismo grupo aporta menos información que cubrir transiciones relevantes.</w:t>
            </w:r>
          </w:p>
        </w:tc>
      </w:tr>
      <w:tr>
        <w:tc>
          <w:tcPr>
            <w:tcW w:type="dxa" w:w="1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203748"/>
                <w:sz w:val="19"/>
              </w:rPr>
              <w:t>Para qué</w:t>
            </w:r>
          </w:p>
        </w:tc>
        <w:tc>
          <w:tcPr>
            <w:tcW w:type="dxa" w:w="74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203748"/>
                <w:sz w:val="19"/>
              </w:rPr>
              <w:t>Diseñar pocos casos con alta capacidad de revelar defectos.</w:t>
            </w:r>
          </w:p>
        </w:tc>
      </w:tr>
      <w:tr>
        <w:tc>
          <w:tcPr>
            <w:tcW w:type="dxa" w:w="1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203748"/>
                <w:sz w:val="19"/>
              </w:rPr>
              <w:t>Qué observar</w:t>
            </w:r>
          </w:p>
        </w:tc>
        <w:tc>
          <w:tcPr>
            <w:tcW w:type="dxa" w:w="74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203748"/>
                <w:sz w:val="19"/>
              </w:rPr>
              <w:t>Para rangos, observar justo antes, en y justo después de cada frontera.</w:t>
            </w:r>
          </w:p>
        </w:tc>
      </w:tr>
      <w:tr>
        <w:tc>
          <w:tcPr>
            <w:tcW w:type="dxa" w:w="1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203748"/>
                <w:sz w:val="19"/>
              </w:rPr>
              <w:t>Estado</w:t>
            </w:r>
          </w:p>
        </w:tc>
        <w:tc>
          <w:tcPr>
            <w:tcW w:type="dxa" w:w="74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203748"/>
                <w:sz w:val="19"/>
              </w:rPr>
              <w:t>PENDIENTE</w:t>
            </w:r>
          </w:p>
        </w:tc>
      </w:tr>
    </w:tbl>
    <w:p>
      <w:pPr>
        <w:spacing w:after="20"/>
      </w:pPr>
    </w:p>
    <w:p>
      <w:pPr>
        <w:pStyle w:val="Heading2"/>
      </w:pPr>
      <w:r>
        <w:t>Práctica guiada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rFonts w:ascii="Consolas" w:hAnsi="Consolas"/>
                <w:color w:val="202124"/>
                <w:sz w:val="18"/>
              </w:rPr>
              <w:t>Rango válido: 0..100</w:t>
            </w:r>
            <w:r>
              <w:br/>
            </w:r>
            <w:r>
              <w:rPr>
                <w:rFonts w:ascii="Consolas" w:hAnsi="Consolas"/>
                <w:color w:val="202124"/>
                <w:sz w:val="18"/>
              </w:rPr>
              <w:t>Casos: -1, 0, 1, 99, 100, 101</w:t>
            </w:r>
            <w:r>
              <w:br/>
            </w:r>
            <w:r>
              <w:rPr>
                <w:rFonts w:ascii="Consolas" w:hAnsi="Consolas"/>
                <w:color w:val="202124"/>
                <w:sz w:val="18"/>
              </w:rPr>
              <w:t>Pregunta: ¿qué cambia en cada frontera?</w:t>
            </w:r>
          </w:p>
        </w:tc>
      </w:tr>
    </w:tbl>
    <w:p>
      <w:pPr>
        <w:spacing w:after="20"/>
      </w:pPr>
    </w:p>
    <w:p>
      <w:pPr>
        <w:pStyle w:val="Heading2"/>
      </w:pPr>
      <w:r>
        <w:t>Criterio de avance</w:t>
      </w:r>
    </w:p>
    <w:p>
      <w:r>
        <w:t>Justificas cada caso por la partición o límite que representa.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FFF7E6"/>
          </w:tcPr>
          <w:p>
            <w:pPr>
              <w:spacing w:after="0"/>
            </w:pPr>
            <w:r>
              <w:rPr>
                <w:rFonts w:ascii="Calibri" w:hAnsi="Calibri"/>
                <w:b/>
                <w:color w:val="1F4D78"/>
                <w:sz w:val="22"/>
              </w:rPr>
              <w:t xml:space="preserve">Pausa didáctica. </w:t>
            </w:r>
            <w:r>
              <w:rPr>
                <w:rFonts w:ascii="Calibri" w:hAnsi="Calibri"/>
                <w:color w:val="203748"/>
                <w:sz w:val="22"/>
              </w:rPr>
              <w:t>No se avanza al siguiente módulo hasta ejecutar, explicar el resultado y confirmar la actualización de este documento.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pStyle w:val="Heading1"/>
      </w:pPr>
      <w:r>
        <w:t>Módulo 8 — Parametrización y subtests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F4F6F9"/>
          </w:tcPr>
          <w:p>
            <w:pPr>
              <w:spacing w:after="0"/>
            </w:pPr>
            <w:r>
              <w:rPr>
                <w:rFonts w:ascii="Calibri" w:hAnsi="Calibri"/>
                <w:b/>
                <w:color w:val="1F4D78"/>
                <w:sz w:val="22"/>
              </w:rPr>
              <w:t xml:space="preserve">Aprendizaje nuevo. </w:t>
            </w:r>
            <w:r>
              <w:rPr>
                <w:rFonts w:ascii="Calibri" w:hAnsi="Calibri"/>
                <w:color w:val="203748"/>
                <w:sz w:val="22"/>
              </w:rPr>
              <w:t>Parametrize genera pruebas durante la colección; los subtests agrupan comprobaciones creadas durante la ejecución.</w:t>
            </w:r>
          </w:p>
        </w:tc>
      </w:tr>
    </w:tbl>
    <w:p>
      <w:pPr>
        <w:spacing w:after="20"/>
      </w:pP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900"/>
        <w:gridCol w:w="7460"/>
      </w:tblGrid>
      <w:tr>
        <w:trPr>
          <w:tblHeader w:val="true"/>
        </w:trPr>
        <w:tc>
          <w:tcPr>
            <w:tcW w:type="dxa" w:w="1900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color w:val="1F4D78"/>
                <w:sz w:val="20"/>
              </w:rPr>
              <w:t>Pregunta</w:t>
            </w:r>
          </w:p>
        </w:tc>
        <w:tc>
          <w:tcPr>
            <w:tcW w:type="dxa" w:w="7460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color w:val="1F4D78"/>
                <w:sz w:val="20"/>
              </w:rPr>
              <w:t>Respuesta</w:t>
            </w:r>
          </w:p>
        </w:tc>
      </w:tr>
      <w:tr>
        <w:tc>
          <w:tcPr>
            <w:tcW w:type="dxa" w:w="1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203748"/>
                <w:sz w:val="19"/>
              </w:rPr>
              <w:t>Qué</w:t>
            </w:r>
          </w:p>
        </w:tc>
        <w:tc>
          <w:tcPr>
            <w:tcW w:type="dxa" w:w="74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203748"/>
                <w:sz w:val="19"/>
              </w:rPr>
              <w:t>Parametrize genera pruebas durante la colección; los subtests agrupan comprobaciones creadas durante la ejecución.</w:t>
            </w:r>
          </w:p>
        </w:tc>
      </w:tr>
      <w:tr>
        <w:tc>
          <w:tcPr>
            <w:tcW w:type="dxa" w:w="1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203748"/>
                <w:sz w:val="19"/>
              </w:rPr>
              <w:t>Por qué</w:t>
            </w:r>
          </w:p>
        </w:tc>
        <w:tc>
          <w:tcPr>
            <w:tcW w:type="dxa" w:w="74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203748"/>
                <w:sz w:val="19"/>
              </w:rPr>
              <w:t>Repetir cuerpos de prueba oculta la tabla de decisiones y aumenta mantenimiento.</w:t>
            </w:r>
          </w:p>
        </w:tc>
      </w:tr>
      <w:tr>
        <w:tc>
          <w:tcPr>
            <w:tcW w:type="dxa" w:w="1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203748"/>
                <w:sz w:val="19"/>
              </w:rPr>
              <w:t>Para qué</w:t>
            </w:r>
          </w:p>
        </w:tc>
        <w:tc>
          <w:tcPr>
            <w:tcW w:type="dxa" w:w="74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203748"/>
                <w:sz w:val="19"/>
              </w:rPr>
              <w:t>Separar especificaciones estables de exploraciones dinámicas.</w:t>
            </w:r>
          </w:p>
        </w:tc>
      </w:tr>
      <w:tr>
        <w:tc>
          <w:tcPr>
            <w:tcW w:type="dxa" w:w="1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203748"/>
                <w:sz w:val="19"/>
              </w:rPr>
              <w:t>Qué observar</w:t>
            </w:r>
          </w:p>
        </w:tc>
        <w:tc>
          <w:tcPr>
            <w:tcW w:type="dxa" w:w="74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203748"/>
                <w:sz w:val="19"/>
              </w:rPr>
              <w:t>Los casos parametrizados tienen node ID; los subtests no se seleccionan individualmente.</w:t>
            </w:r>
          </w:p>
        </w:tc>
      </w:tr>
      <w:tr>
        <w:tc>
          <w:tcPr>
            <w:tcW w:type="dxa" w:w="1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203748"/>
                <w:sz w:val="19"/>
              </w:rPr>
              <w:t>Estado</w:t>
            </w:r>
          </w:p>
        </w:tc>
        <w:tc>
          <w:tcPr>
            <w:tcW w:type="dxa" w:w="74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203748"/>
                <w:sz w:val="19"/>
              </w:rPr>
              <w:t>PENDIENTE</w:t>
            </w:r>
          </w:p>
        </w:tc>
      </w:tr>
    </w:tbl>
    <w:p>
      <w:pPr>
        <w:spacing w:after="20"/>
      </w:pPr>
    </w:p>
    <w:p>
      <w:pPr>
        <w:pStyle w:val="Heading2"/>
      </w:pPr>
      <w:r>
        <w:t>Práctica guiada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rFonts w:ascii="Consolas" w:hAnsi="Consolas"/>
                <w:color w:val="202124"/>
                <w:sz w:val="18"/>
              </w:rPr>
              <w:t>@pytest.mark.parametrize("value, expected", [("1", 1), ("x", None)])</w:t>
            </w:r>
            <w:r>
              <w:br/>
            </w:r>
            <w:r>
              <w:rPr>
                <w:rFonts w:ascii="Consolas" w:hAnsi="Consolas"/>
                <w:color w:val="202124"/>
                <w:sz w:val="18"/>
              </w:rPr>
              <w:t>def test_parse_int(value, expected):</w:t>
            </w:r>
            <w:r>
              <w:br/>
            </w:r>
            <w:r>
              <w:rPr>
                <w:rFonts w:ascii="Consolas" w:hAnsi="Consolas"/>
                <w:color w:val="202124"/>
                <w:sz w:val="18"/>
              </w:rPr>
              <w:t xml:space="preserve">    assert parse_int(value) == expected</w:t>
            </w:r>
          </w:p>
        </w:tc>
      </w:tr>
    </w:tbl>
    <w:p>
      <w:pPr>
        <w:spacing w:after="20"/>
      </w:pPr>
    </w:p>
    <w:p>
      <w:pPr>
        <w:pStyle w:val="Heading2"/>
      </w:pPr>
      <w:r>
        <w:t>Criterio de avance</w:t>
      </w:r>
    </w:p>
    <w:p>
      <w:r>
        <w:t>Puedes elegir entre parametrización y subtests y justificar el momento de creación de los casos.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FFF7E6"/>
          </w:tcPr>
          <w:p>
            <w:pPr>
              <w:spacing w:after="0"/>
            </w:pPr>
            <w:r>
              <w:rPr>
                <w:rFonts w:ascii="Calibri" w:hAnsi="Calibri"/>
                <w:b/>
                <w:color w:val="1F4D78"/>
                <w:sz w:val="22"/>
              </w:rPr>
              <w:t xml:space="preserve">Pausa didáctica. </w:t>
            </w:r>
            <w:r>
              <w:rPr>
                <w:rFonts w:ascii="Calibri" w:hAnsi="Calibri"/>
                <w:color w:val="203748"/>
                <w:sz w:val="22"/>
              </w:rPr>
              <w:t>No se avanza al siguiente módulo hasta ejecutar, explicar el resultado y confirmar la actualización de este documento.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pStyle w:val="Heading1"/>
      </w:pPr>
      <w:r>
        <w:t>Módulo 9 — Excepciones y caminos de error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F4F6F9"/>
          </w:tcPr>
          <w:p>
            <w:pPr>
              <w:spacing w:after="0"/>
            </w:pPr>
            <w:r>
              <w:rPr>
                <w:rFonts w:ascii="Calibri" w:hAnsi="Calibri"/>
                <w:b/>
                <w:color w:val="1F4D78"/>
                <w:sz w:val="22"/>
              </w:rPr>
              <w:t xml:space="preserve">Aprendizaje nuevo. </w:t>
            </w:r>
            <w:r>
              <w:rPr>
                <w:rFonts w:ascii="Calibri" w:hAnsi="Calibri"/>
                <w:color w:val="203748"/>
                <w:sz w:val="22"/>
              </w:rPr>
              <w:t>Una excepción esperada es parte del contrato; una excepción inesperada es evidencia de comportamiento no controlado.</w:t>
            </w:r>
          </w:p>
        </w:tc>
      </w:tr>
    </w:tbl>
    <w:p>
      <w:pPr>
        <w:spacing w:after="20"/>
      </w:pP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900"/>
        <w:gridCol w:w="7460"/>
      </w:tblGrid>
      <w:tr>
        <w:trPr>
          <w:tblHeader w:val="true"/>
        </w:trPr>
        <w:tc>
          <w:tcPr>
            <w:tcW w:type="dxa" w:w="1900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color w:val="1F4D78"/>
                <w:sz w:val="20"/>
              </w:rPr>
              <w:t>Pregunta</w:t>
            </w:r>
          </w:p>
        </w:tc>
        <w:tc>
          <w:tcPr>
            <w:tcW w:type="dxa" w:w="7460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color w:val="1F4D78"/>
                <w:sz w:val="20"/>
              </w:rPr>
              <w:t>Respuesta</w:t>
            </w:r>
          </w:p>
        </w:tc>
      </w:tr>
      <w:tr>
        <w:tc>
          <w:tcPr>
            <w:tcW w:type="dxa" w:w="1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203748"/>
                <w:sz w:val="19"/>
              </w:rPr>
              <w:t>Qué</w:t>
            </w:r>
          </w:p>
        </w:tc>
        <w:tc>
          <w:tcPr>
            <w:tcW w:type="dxa" w:w="74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203748"/>
                <w:sz w:val="19"/>
              </w:rPr>
              <w:t>Una excepción esperada es parte del contrato; una excepción inesperada es evidencia de comportamiento no controlado.</w:t>
            </w:r>
          </w:p>
        </w:tc>
      </w:tr>
      <w:tr>
        <w:tc>
          <w:tcPr>
            <w:tcW w:type="dxa" w:w="1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203748"/>
                <w:sz w:val="19"/>
              </w:rPr>
              <w:t>Por qué</w:t>
            </w:r>
          </w:p>
        </w:tc>
        <w:tc>
          <w:tcPr>
            <w:tcW w:type="dxa" w:w="74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203748"/>
                <w:sz w:val="19"/>
              </w:rPr>
              <w:t>Solo probar el camino feliz deja sin especificar entradas inválidas y recuperación.</w:t>
            </w:r>
          </w:p>
        </w:tc>
      </w:tr>
      <w:tr>
        <w:tc>
          <w:tcPr>
            <w:tcW w:type="dxa" w:w="1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203748"/>
                <w:sz w:val="19"/>
              </w:rPr>
              <w:t>Para qué</w:t>
            </w:r>
          </w:p>
        </w:tc>
        <w:tc>
          <w:tcPr>
            <w:tcW w:type="dxa" w:w="74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203748"/>
                <w:sz w:val="19"/>
              </w:rPr>
              <w:t>Comprobar tipo, mensaje relevante y momento del error.</w:t>
            </w:r>
          </w:p>
        </w:tc>
      </w:tr>
      <w:tr>
        <w:tc>
          <w:tcPr>
            <w:tcW w:type="dxa" w:w="1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203748"/>
                <w:sz w:val="19"/>
              </w:rPr>
              <w:t>Qué observar</w:t>
            </w:r>
          </w:p>
        </w:tc>
        <w:tc>
          <w:tcPr>
            <w:tcW w:type="dxa" w:w="74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203748"/>
                <w:sz w:val="19"/>
              </w:rPr>
              <w:t>pytest.raises debe envolver únicamente la acción que debe fallar.</w:t>
            </w:r>
          </w:p>
        </w:tc>
      </w:tr>
      <w:tr>
        <w:tc>
          <w:tcPr>
            <w:tcW w:type="dxa" w:w="1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203748"/>
                <w:sz w:val="19"/>
              </w:rPr>
              <w:t>Estado</w:t>
            </w:r>
          </w:p>
        </w:tc>
        <w:tc>
          <w:tcPr>
            <w:tcW w:type="dxa" w:w="74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203748"/>
                <w:sz w:val="19"/>
              </w:rPr>
              <w:t>PENDIENTE</w:t>
            </w:r>
          </w:p>
        </w:tc>
      </w:tr>
    </w:tbl>
    <w:p>
      <w:pPr>
        <w:spacing w:after="20"/>
      </w:pPr>
    </w:p>
    <w:p>
      <w:pPr>
        <w:pStyle w:val="Heading2"/>
      </w:pPr>
      <w:r>
        <w:t>Práctica guiada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rFonts w:ascii="Consolas" w:hAnsi="Consolas"/>
                <w:color w:val="202124"/>
                <w:sz w:val="18"/>
              </w:rPr>
              <w:t>with pytest.raises(ValueError):</w:t>
            </w:r>
            <w:r>
              <w:br/>
            </w:r>
            <w:r>
              <w:rPr>
                <w:rFonts w:ascii="Consolas" w:hAnsi="Consolas"/>
                <w:color w:val="202124"/>
                <w:sz w:val="18"/>
              </w:rPr>
              <w:t xml:space="preserve">    classify_score(101)</w:t>
            </w:r>
          </w:p>
        </w:tc>
      </w:tr>
    </w:tbl>
    <w:p>
      <w:pPr>
        <w:spacing w:after="20"/>
      </w:pPr>
    </w:p>
    <w:p>
      <w:pPr>
        <w:pStyle w:val="Heading2"/>
      </w:pPr>
      <w:r>
        <w:t>Criterio de avance</w:t>
      </w:r>
    </w:p>
    <w:p>
      <w:r>
        <w:t>Distingues rechazo deliberado, fallo de assert y error de preparación.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FFF7E6"/>
          </w:tcPr>
          <w:p>
            <w:pPr>
              <w:spacing w:after="0"/>
            </w:pPr>
            <w:r>
              <w:rPr>
                <w:rFonts w:ascii="Calibri" w:hAnsi="Calibri"/>
                <w:b/>
                <w:color w:val="1F4D78"/>
                <w:sz w:val="22"/>
              </w:rPr>
              <w:t xml:space="preserve">Pausa didáctica. </w:t>
            </w:r>
            <w:r>
              <w:rPr>
                <w:rFonts w:ascii="Calibri" w:hAnsi="Calibri"/>
                <w:color w:val="203748"/>
                <w:sz w:val="22"/>
              </w:rPr>
              <w:t>No se avanza al siguiente módulo hasta ejecutar, explicar el resultado y confirmar la actualización de este documento.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pStyle w:val="Heading1"/>
      </w:pPr>
      <w:r>
        <w:t>Módulo 10 — Fixtures y ciclo de vida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F4F6F9"/>
          </w:tcPr>
          <w:p>
            <w:pPr>
              <w:spacing w:after="0"/>
            </w:pPr>
            <w:r>
              <w:rPr>
                <w:rFonts w:ascii="Calibri" w:hAnsi="Calibri"/>
                <w:b/>
                <w:color w:val="1F4D78"/>
                <w:sz w:val="22"/>
              </w:rPr>
              <w:t xml:space="preserve">Aprendizaje nuevo. </w:t>
            </w:r>
            <w:r>
              <w:rPr>
                <w:rFonts w:ascii="Calibri" w:hAnsi="Calibri"/>
                <w:color w:val="203748"/>
                <w:sz w:val="22"/>
              </w:rPr>
              <w:t>Una fixture proporciona contexto explícito, reutilizable y limpiable a una prueba.</w:t>
            </w:r>
          </w:p>
        </w:tc>
      </w:tr>
    </w:tbl>
    <w:p>
      <w:pPr>
        <w:spacing w:after="20"/>
      </w:pP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900"/>
        <w:gridCol w:w="7460"/>
      </w:tblGrid>
      <w:tr>
        <w:trPr>
          <w:tblHeader w:val="true"/>
        </w:trPr>
        <w:tc>
          <w:tcPr>
            <w:tcW w:type="dxa" w:w="1900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color w:val="1F4D78"/>
                <w:sz w:val="20"/>
              </w:rPr>
              <w:t>Pregunta</w:t>
            </w:r>
          </w:p>
        </w:tc>
        <w:tc>
          <w:tcPr>
            <w:tcW w:type="dxa" w:w="7460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color w:val="1F4D78"/>
                <w:sz w:val="20"/>
              </w:rPr>
              <w:t>Respuesta</w:t>
            </w:r>
          </w:p>
        </w:tc>
      </w:tr>
      <w:tr>
        <w:tc>
          <w:tcPr>
            <w:tcW w:type="dxa" w:w="1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203748"/>
                <w:sz w:val="19"/>
              </w:rPr>
              <w:t>Qué</w:t>
            </w:r>
          </w:p>
        </w:tc>
        <w:tc>
          <w:tcPr>
            <w:tcW w:type="dxa" w:w="74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203748"/>
                <w:sz w:val="19"/>
              </w:rPr>
              <w:t>Una fixture proporciona contexto explícito, reutilizable y limpiable a una prueba.</w:t>
            </w:r>
          </w:p>
        </w:tc>
      </w:tr>
      <w:tr>
        <w:tc>
          <w:tcPr>
            <w:tcW w:type="dxa" w:w="1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203748"/>
                <w:sz w:val="19"/>
              </w:rPr>
              <w:t>Por qué</w:t>
            </w:r>
          </w:p>
        </w:tc>
        <w:tc>
          <w:tcPr>
            <w:tcW w:type="dxa" w:w="74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203748"/>
                <w:sz w:val="19"/>
              </w:rPr>
              <w:t>Duplicar preparación dispersa reglas de contexto y favorece estado compartido.</w:t>
            </w:r>
          </w:p>
        </w:tc>
      </w:tr>
      <w:tr>
        <w:tc>
          <w:tcPr>
            <w:tcW w:type="dxa" w:w="1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203748"/>
                <w:sz w:val="19"/>
              </w:rPr>
              <w:t>Para qué</w:t>
            </w:r>
          </w:p>
        </w:tc>
        <w:tc>
          <w:tcPr>
            <w:tcW w:type="dxa" w:w="74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203748"/>
                <w:sz w:val="19"/>
              </w:rPr>
              <w:t>Crear datos frescos y administrar setup/teardown con scopes conscientes.</w:t>
            </w:r>
          </w:p>
        </w:tc>
      </w:tr>
      <w:tr>
        <w:tc>
          <w:tcPr>
            <w:tcW w:type="dxa" w:w="1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203748"/>
                <w:sz w:val="19"/>
              </w:rPr>
              <w:t>Qué observar</w:t>
            </w:r>
          </w:p>
        </w:tc>
        <w:tc>
          <w:tcPr>
            <w:tcW w:type="dxa" w:w="74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203748"/>
                <w:sz w:val="19"/>
              </w:rPr>
              <w:t>Una fixture puede depender de otras; ampliar el scope aumenta el estado compartido.</w:t>
            </w:r>
          </w:p>
        </w:tc>
      </w:tr>
      <w:tr>
        <w:tc>
          <w:tcPr>
            <w:tcW w:type="dxa" w:w="1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203748"/>
                <w:sz w:val="19"/>
              </w:rPr>
              <w:t>Estado</w:t>
            </w:r>
          </w:p>
        </w:tc>
        <w:tc>
          <w:tcPr>
            <w:tcW w:type="dxa" w:w="74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203748"/>
                <w:sz w:val="19"/>
              </w:rPr>
              <w:t>PENDIENTE</w:t>
            </w:r>
          </w:p>
        </w:tc>
      </w:tr>
    </w:tbl>
    <w:p>
      <w:pPr>
        <w:spacing w:after="20"/>
      </w:pPr>
    </w:p>
    <w:p>
      <w:pPr>
        <w:pStyle w:val="Heading2"/>
      </w:pPr>
      <w:r>
        <w:t>Práctica guiada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rFonts w:ascii="Consolas" w:hAnsi="Consolas"/>
                <w:color w:val="202124"/>
                <w:sz w:val="18"/>
              </w:rPr>
              <w:t>@pytest.fixture</w:t>
            </w:r>
            <w:r>
              <w:br/>
            </w:r>
            <w:r>
              <w:rPr>
                <w:rFonts w:ascii="Consolas" w:hAnsi="Consolas"/>
                <w:color w:val="202124"/>
                <w:sz w:val="18"/>
              </w:rPr>
              <w:t>def sample_values():</w:t>
            </w:r>
            <w:r>
              <w:br/>
            </w:r>
            <w:r>
              <w:rPr>
                <w:rFonts w:ascii="Consolas" w:hAnsi="Consolas"/>
                <w:color w:val="202124"/>
                <w:sz w:val="18"/>
              </w:rPr>
              <w:t xml:space="preserve">    return [' A ', 'B ']</w:t>
            </w:r>
            <w:r>
              <w:br/>
            </w:r>
            <w:r>
              <w:rPr>
                <w:rFonts w:ascii="Consolas" w:hAnsi="Consolas"/>
                <w:color w:val="202124"/>
                <w:sz w:val="18"/>
              </w:rPr>
            </w:r>
            <w:r>
              <w:br/>
            </w:r>
            <w:r>
              <w:rPr>
                <w:rFonts w:ascii="Consolas" w:hAnsi="Consolas"/>
                <w:color w:val="202124"/>
                <w:sz w:val="18"/>
              </w:rPr>
              <w:t>def test_normalizes_all(sample_values):</w:t>
            </w:r>
            <w:r>
              <w:br/>
            </w:r>
            <w:r>
              <w:rPr>
                <w:rFonts w:ascii="Consolas" w:hAnsi="Consolas"/>
                <w:color w:val="202124"/>
                <w:sz w:val="18"/>
              </w:rPr>
              <w:t xml:space="preserve">    ...</w:t>
            </w:r>
          </w:p>
        </w:tc>
      </w:tr>
    </w:tbl>
    <w:p>
      <w:pPr>
        <w:spacing w:after="20"/>
      </w:pPr>
    </w:p>
    <w:p>
      <w:pPr>
        <w:pStyle w:val="Heading2"/>
      </w:pPr>
      <w:r>
        <w:t>Criterio de avance</w:t>
      </w:r>
    </w:p>
    <w:p>
      <w:r>
        <w:t>Puedes explicar por qué una fixture mejora el contexto y cuándo sería sobreingeniería.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FFF7E6"/>
          </w:tcPr>
          <w:p>
            <w:pPr>
              <w:spacing w:after="0"/>
            </w:pPr>
            <w:r>
              <w:rPr>
                <w:rFonts w:ascii="Calibri" w:hAnsi="Calibri"/>
                <w:b/>
                <w:color w:val="1F4D78"/>
                <w:sz w:val="22"/>
              </w:rPr>
              <w:t xml:space="preserve">Pausa didáctica. </w:t>
            </w:r>
            <w:r>
              <w:rPr>
                <w:rFonts w:ascii="Calibri" w:hAnsi="Calibri"/>
                <w:color w:val="203748"/>
                <w:sz w:val="22"/>
              </w:rPr>
              <w:t>No se avanza al siguiente módulo hasta ejecutar, explicar el resultado y confirmar la actualización de este documento.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pStyle w:val="Heading1"/>
      </w:pPr>
      <w:r>
        <w:t>Módulo 11 — Dobles e inyección de dependencias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F4F6F9"/>
          </w:tcPr>
          <w:p>
            <w:pPr>
              <w:spacing w:after="0"/>
            </w:pPr>
            <w:r>
              <w:rPr>
                <w:rFonts w:ascii="Calibri" w:hAnsi="Calibri"/>
                <w:b/>
                <w:color w:val="1F4D78"/>
                <w:sz w:val="22"/>
              </w:rPr>
              <w:t xml:space="preserve">Aprendizaje nuevo. </w:t>
            </w:r>
            <w:r>
              <w:rPr>
                <w:rFonts w:ascii="Calibri" w:hAnsi="Calibri"/>
                <w:color w:val="203748"/>
                <w:sz w:val="22"/>
              </w:rPr>
              <w:t>Stub, fake, mock y spy sustituyen fronteras con propósitos distintos; la inyección permite controlarlas.</w:t>
            </w:r>
          </w:p>
        </w:tc>
      </w:tr>
    </w:tbl>
    <w:p>
      <w:pPr>
        <w:spacing w:after="20"/>
      </w:pP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900"/>
        <w:gridCol w:w="7460"/>
      </w:tblGrid>
      <w:tr>
        <w:trPr>
          <w:tblHeader w:val="true"/>
        </w:trPr>
        <w:tc>
          <w:tcPr>
            <w:tcW w:type="dxa" w:w="1900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color w:val="1F4D78"/>
                <w:sz w:val="20"/>
              </w:rPr>
              <w:t>Pregunta</w:t>
            </w:r>
          </w:p>
        </w:tc>
        <w:tc>
          <w:tcPr>
            <w:tcW w:type="dxa" w:w="7460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color w:val="1F4D78"/>
                <w:sz w:val="20"/>
              </w:rPr>
              <w:t>Respuesta</w:t>
            </w:r>
          </w:p>
        </w:tc>
      </w:tr>
      <w:tr>
        <w:tc>
          <w:tcPr>
            <w:tcW w:type="dxa" w:w="1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203748"/>
                <w:sz w:val="19"/>
              </w:rPr>
              <w:t>Qué</w:t>
            </w:r>
          </w:p>
        </w:tc>
        <w:tc>
          <w:tcPr>
            <w:tcW w:type="dxa" w:w="74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203748"/>
                <w:sz w:val="19"/>
              </w:rPr>
              <w:t>Stub, fake, mock y spy sustituyen fronteras con propósitos distintos; la inyección permite controlarlas.</w:t>
            </w:r>
          </w:p>
        </w:tc>
      </w:tr>
      <w:tr>
        <w:tc>
          <w:tcPr>
            <w:tcW w:type="dxa" w:w="1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203748"/>
                <w:sz w:val="19"/>
              </w:rPr>
              <w:t>Por qué</w:t>
            </w:r>
          </w:p>
        </w:tc>
        <w:tc>
          <w:tcPr>
            <w:tcW w:type="dxa" w:w="74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203748"/>
                <w:sz w:val="19"/>
              </w:rPr>
              <w:t>Red, reloj, archivos y bases reales vuelven lentas o no deterministas las pruebas unitarias.</w:t>
            </w:r>
          </w:p>
        </w:tc>
      </w:tr>
      <w:tr>
        <w:tc>
          <w:tcPr>
            <w:tcW w:type="dxa" w:w="1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203748"/>
                <w:sz w:val="19"/>
              </w:rPr>
              <w:t>Para qué</w:t>
            </w:r>
          </w:p>
        </w:tc>
        <w:tc>
          <w:tcPr>
            <w:tcW w:type="dxa" w:w="74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203748"/>
                <w:sz w:val="19"/>
              </w:rPr>
              <w:t>Aislar la regla sin perder pruebas de integración para la frontera real.</w:t>
            </w:r>
          </w:p>
        </w:tc>
      </w:tr>
      <w:tr>
        <w:tc>
          <w:tcPr>
            <w:tcW w:type="dxa" w:w="1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203748"/>
                <w:sz w:val="19"/>
              </w:rPr>
              <w:t>Qué observar</w:t>
            </w:r>
          </w:p>
        </w:tc>
        <w:tc>
          <w:tcPr>
            <w:tcW w:type="dxa" w:w="74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203748"/>
                <w:sz w:val="19"/>
              </w:rPr>
              <w:t>No se mockea todo: se controla aquello externo al comportamiento que queremos observar.</w:t>
            </w:r>
          </w:p>
        </w:tc>
      </w:tr>
      <w:tr>
        <w:tc>
          <w:tcPr>
            <w:tcW w:type="dxa" w:w="1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203748"/>
                <w:sz w:val="19"/>
              </w:rPr>
              <w:t>Estado</w:t>
            </w:r>
          </w:p>
        </w:tc>
        <w:tc>
          <w:tcPr>
            <w:tcW w:type="dxa" w:w="74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203748"/>
                <w:sz w:val="19"/>
              </w:rPr>
              <w:t>PENDIENTE</w:t>
            </w:r>
          </w:p>
        </w:tc>
      </w:tr>
    </w:tbl>
    <w:p>
      <w:pPr>
        <w:spacing w:after="20"/>
      </w:pPr>
    </w:p>
    <w:p>
      <w:pPr>
        <w:pStyle w:val="Heading2"/>
      </w:pPr>
      <w:r>
        <w:t>Práctica guiada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rFonts w:ascii="Consolas" w:hAnsi="Consolas"/>
                <w:color w:val="202124"/>
                <w:sz w:val="18"/>
              </w:rPr>
              <w:t>def service(client): ...</w:t>
            </w:r>
            <w:r>
              <w:br/>
            </w:r>
            <w:r>
              <w:rPr>
                <w:rFonts w:ascii="Consolas" w:hAnsi="Consolas"/>
                <w:color w:val="202124"/>
                <w:sz w:val="18"/>
              </w:rPr>
              <w:t># entregar client como argumento</w:t>
            </w:r>
            <w:r>
              <w:br/>
            </w:r>
            <w:r>
              <w:rPr>
                <w:rFonts w:ascii="Consolas" w:hAnsi="Consolas"/>
                <w:color w:val="202124"/>
                <w:sz w:val="18"/>
              </w:rPr>
              <w:t># stub: respuesta; mock: además verifica interacción</w:t>
            </w:r>
          </w:p>
        </w:tc>
      </w:tr>
    </w:tbl>
    <w:p>
      <w:pPr>
        <w:spacing w:after="20"/>
      </w:pPr>
    </w:p>
    <w:p>
      <w:pPr>
        <w:pStyle w:val="Heading2"/>
      </w:pPr>
      <w:r>
        <w:t>Criterio de avance</w:t>
      </w:r>
    </w:p>
    <w:p>
      <w:r>
        <w:t>Identificas la frontera y eliges el doble según la evidencia necesaria.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FFF7E6"/>
          </w:tcPr>
          <w:p>
            <w:pPr>
              <w:spacing w:after="0"/>
            </w:pPr>
            <w:r>
              <w:rPr>
                <w:rFonts w:ascii="Calibri" w:hAnsi="Calibri"/>
                <w:b/>
                <w:color w:val="1F4D78"/>
                <w:sz w:val="22"/>
              </w:rPr>
              <w:t xml:space="preserve">Pausa didáctica. </w:t>
            </w:r>
            <w:r>
              <w:rPr>
                <w:rFonts w:ascii="Calibri" w:hAnsi="Calibri"/>
                <w:color w:val="203748"/>
                <w:sz w:val="22"/>
              </w:rPr>
              <w:t>No se avanza al siguiente módulo hasta ejecutar, explicar el resultado y confirmar la actualización de este documento.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pStyle w:val="Heading1"/>
      </w:pPr>
      <w:r>
        <w:t>Módulo 12 — Niveles de prueba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F4F6F9"/>
          </w:tcPr>
          <w:p>
            <w:pPr>
              <w:spacing w:after="0"/>
            </w:pPr>
            <w:r>
              <w:rPr>
                <w:rFonts w:ascii="Calibri" w:hAnsi="Calibri"/>
                <w:b/>
                <w:color w:val="1F4D78"/>
                <w:sz w:val="22"/>
              </w:rPr>
              <w:t xml:space="preserve">Aprendizaje nuevo. </w:t>
            </w:r>
            <w:r>
              <w:rPr>
                <w:rFonts w:ascii="Calibri" w:hAnsi="Calibri"/>
                <w:color w:val="203748"/>
                <w:sz w:val="22"/>
              </w:rPr>
              <w:t>Unitarias, integración, contrato y end-to-end responden preguntas diferentes.</w:t>
            </w:r>
          </w:p>
        </w:tc>
      </w:tr>
    </w:tbl>
    <w:p>
      <w:pPr>
        <w:spacing w:after="20"/>
      </w:pP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900"/>
        <w:gridCol w:w="7460"/>
      </w:tblGrid>
      <w:tr>
        <w:trPr>
          <w:tblHeader w:val="true"/>
        </w:trPr>
        <w:tc>
          <w:tcPr>
            <w:tcW w:type="dxa" w:w="1900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color w:val="1F4D78"/>
                <w:sz w:val="20"/>
              </w:rPr>
              <w:t>Pregunta</w:t>
            </w:r>
          </w:p>
        </w:tc>
        <w:tc>
          <w:tcPr>
            <w:tcW w:type="dxa" w:w="7460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color w:val="1F4D78"/>
                <w:sz w:val="20"/>
              </w:rPr>
              <w:t>Respuesta</w:t>
            </w:r>
          </w:p>
        </w:tc>
      </w:tr>
      <w:tr>
        <w:tc>
          <w:tcPr>
            <w:tcW w:type="dxa" w:w="1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203748"/>
                <w:sz w:val="19"/>
              </w:rPr>
              <w:t>Qué</w:t>
            </w:r>
          </w:p>
        </w:tc>
        <w:tc>
          <w:tcPr>
            <w:tcW w:type="dxa" w:w="74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203748"/>
                <w:sz w:val="19"/>
              </w:rPr>
              <w:t>Unitarias, integración, contrato y end-to-end responden preguntas diferentes.</w:t>
            </w:r>
          </w:p>
        </w:tc>
      </w:tr>
      <w:tr>
        <w:tc>
          <w:tcPr>
            <w:tcW w:type="dxa" w:w="1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203748"/>
                <w:sz w:val="19"/>
              </w:rPr>
              <w:t>Por qué</w:t>
            </w:r>
          </w:p>
        </w:tc>
        <w:tc>
          <w:tcPr>
            <w:tcW w:type="dxa" w:w="74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203748"/>
                <w:sz w:val="19"/>
              </w:rPr>
              <w:t>Una sola clase de prueba no cubre reglas internas y colaboración real con el mismo coste.</w:t>
            </w:r>
          </w:p>
        </w:tc>
      </w:tr>
      <w:tr>
        <w:tc>
          <w:tcPr>
            <w:tcW w:type="dxa" w:w="1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203748"/>
                <w:sz w:val="19"/>
              </w:rPr>
              <w:t>Para qué</w:t>
            </w:r>
          </w:p>
        </w:tc>
        <w:tc>
          <w:tcPr>
            <w:tcW w:type="dxa" w:w="74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203748"/>
                <w:sz w:val="19"/>
              </w:rPr>
              <w:t>Construir una cartera equilibrada por riesgo, velocidad y fidelidad.</w:t>
            </w:r>
          </w:p>
        </w:tc>
      </w:tr>
      <w:tr>
        <w:tc>
          <w:tcPr>
            <w:tcW w:type="dxa" w:w="1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203748"/>
                <w:sz w:val="19"/>
              </w:rPr>
              <w:t>Qué observar</w:t>
            </w:r>
          </w:p>
        </w:tc>
        <w:tc>
          <w:tcPr>
            <w:tcW w:type="dxa" w:w="74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203748"/>
                <w:sz w:val="19"/>
              </w:rPr>
              <w:t>Cuanto mayor el alcance, mayor coste de preparación y diagnóstico.</w:t>
            </w:r>
          </w:p>
        </w:tc>
      </w:tr>
      <w:tr>
        <w:tc>
          <w:tcPr>
            <w:tcW w:type="dxa" w:w="1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203748"/>
                <w:sz w:val="19"/>
              </w:rPr>
              <w:t>Estado</w:t>
            </w:r>
          </w:p>
        </w:tc>
        <w:tc>
          <w:tcPr>
            <w:tcW w:type="dxa" w:w="74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203748"/>
                <w:sz w:val="19"/>
              </w:rPr>
              <w:t>PENDIENTE</w:t>
            </w:r>
          </w:p>
        </w:tc>
      </w:tr>
    </w:tbl>
    <w:p>
      <w:pPr>
        <w:spacing w:after="20"/>
      </w:pPr>
    </w:p>
    <w:p>
      <w:pPr>
        <w:pStyle w:val="Heading2"/>
      </w:pPr>
      <w:r>
        <w:t>Práctica guiada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rFonts w:ascii="Consolas" w:hAnsi="Consolas"/>
                <w:color w:val="202124"/>
                <w:sz w:val="18"/>
              </w:rPr>
              <w:t>Regla pura → unitaria</w:t>
            </w:r>
            <w:r>
              <w:br/>
            </w:r>
            <w:r>
              <w:rPr>
                <w:rFonts w:ascii="Consolas" w:hAnsi="Consolas"/>
                <w:color w:val="202124"/>
                <w:sz w:val="18"/>
              </w:rPr>
              <w:t>Adaptador + recurso controlado → integración</w:t>
            </w:r>
            <w:r>
              <w:br/>
            </w:r>
            <w:r>
              <w:rPr>
                <w:rFonts w:ascii="Consolas" w:hAnsi="Consolas"/>
                <w:color w:val="202124"/>
                <w:sz w:val="18"/>
              </w:rPr>
              <w:t>Formato/API → contrato</w:t>
            </w:r>
            <w:r>
              <w:br/>
            </w:r>
            <w:r>
              <w:rPr>
                <w:rFonts w:ascii="Consolas" w:hAnsi="Consolas"/>
                <w:color w:val="202124"/>
                <w:sz w:val="18"/>
              </w:rPr>
              <w:t>Flujo completo → E2E</w:t>
            </w:r>
          </w:p>
        </w:tc>
      </w:tr>
    </w:tbl>
    <w:p>
      <w:pPr>
        <w:spacing w:after="20"/>
      </w:pPr>
    </w:p>
    <w:p>
      <w:pPr>
        <w:pStyle w:val="Heading2"/>
      </w:pPr>
      <w:r>
        <w:t>Criterio de avance</w:t>
      </w:r>
    </w:p>
    <w:p>
      <w:r>
        <w:t>Clasificas una prueba por lo que ejecuta realmente, no por su nombre.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FFF7E6"/>
          </w:tcPr>
          <w:p>
            <w:pPr>
              <w:spacing w:after="0"/>
            </w:pPr>
            <w:r>
              <w:rPr>
                <w:rFonts w:ascii="Calibri" w:hAnsi="Calibri"/>
                <w:b/>
                <w:color w:val="1F4D78"/>
                <w:sz w:val="22"/>
              </w:rPr>
              <w:t xml:space="preserve">Pausa didáctica. </w:t>
            </w:r>
            <w:r>
              <w:rPr>
                <w:rFonts w:ascii="Calibri" w:hAnsi="Calibri"/>
                <w:color w:val="203748"/>
                <w:sz w:val="22"/>
              </w:rPr>
              <w:t>No se avanza al siguiente módulo hasta ejecutar, explicar el resultado y confirmar la actualización de este documento.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pStyle w:val="Heading1"/>
      </w:pPr>
      <w:r>
        <w:t>Módulo 13 — Cobertura y calidad de las pruebas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F4F6F9"/>
          </w:tcPr>
          <w:p>
            <w:pPr>
              <w:spacing w:after="0"/>
            </w:pPr>
            <w:r>
              <w:rPr>
                <w:rFonts w:ascii="Calibri" w:hAnsi="Calibri"/>
                <w:b/>
                <w:color w:val="1F4D78"/>
                <w:sz w:val="22"/>
              </w:rPr>
              <w:t xml:space="preserve">Aprendizaje nuevo. </w:t>
            </w:r>
            <w:r>
              <w:rPr>
                <w:rFonts w:ascii="Calibri" w:hAnsi="Calibri"/>
                <w:color w:val="203748"/>
                <w:sz w:val="22"/>
              </w:rPr>
              <w:t>La cobertura mide ejecución de líneas y ramas; no mide la fuerza de las expectativas.</w:t>
            </w:r>
          </w:p>
        </w:tc>
      </w:tr>
    </w:tbl>
    <w:p>
      <w:pPr>
        <w:spacing w:after="20"/>
      </w:pP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900"/>
        <w:gridCol w:w="7460"/>
      </w:tblGrid>
      <w:tr>
        <w:trPr>
          <w:tblHeader w:val="true"/>
        </w:trPr>
        <w:tc>
          <w:tcPr>
            <w:tcW w:type="dxa" w:w="1900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color w:val="1F4D78"/>
                <w:sz w:val="20"/>
              </w:rPr>
              <w:t>Pregunta</w:t>
            </w:r>
          </w:p>
        </w:tc>
        <w:tc>
          <w:tcPr>
            <w:tcW w:type="dxa" w:w="7460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color w:val="1F4D78"/>
                <w:sz w:val="20"/>
              </w:rPr>
              <w:t>Respuesta</w:t>
            </w:r>
          </w:p>
        </w:tc>
      </w:tr>
      <w:tr>
        <w:tc>
          <w:tcPr>
            <w:tcW w:type="dxa" w:w="1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203748"/>
                <w:sz w:val="19"/>
              </w:rPr>
              <w:t>Qué</w:t>
            </w:r>
          </w:p>
        </w:tc>
        <w:tc>
          <w:tcPr>
            <w:tcW w:type="dxa" w:w="74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203748"/>
                <w:sz w:val="19"/>
              </w:rPr>
              <w:t>La cobertura mide ejecución de líneas y ramas; no mide la fuerza de las expectativas.</w:t>
            </w:r>
          </w:p>
        </w:tc>
      </w:tr>
      <w:tr>
        <w:tc>
          <w:tcPr>
            <w:tcW w:type="dxa" w:w="1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203748"/>
                <w:sz w:val="19"/>
              </w:rPr>
              <w:t>Por qué</w:t>
            </w:r>
          </w:p>
        </w:tc>
        <w:tc>
          <w:tcPr>
            <w:tcW w:type="dxa" w:w="74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203748"/>
                <w:sz w:val="19"/>
              </w:rPr>
              <w:t>Un 100 % puede coexistir con asserts débiles o contratos incompletos.</w:t>
            </w:r>
          </w:p>
        </w:tc>
      </w:tr>
      <w:tr>
        <w:tc>
          <w:tcPr>
            <w:tcW w:type="dxa" w:w="1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203748"/>
                <w:sz w:val="19"/>
              </w:rPr>
              <w:t>Para qué</w:t>
            </w:r>
          </w:p>
        </w:tc>
        <w:tc>
          <w:tcPr>
            <w:tcW w:type="dxa" w:w="74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203748"/>
                <w:sz w:val="19"/>
              </w:rPr>
              <w:t>Usar huecos de cobertura como preguntas y no como certificado de ausencia de defectos.</w:t>
            </w:r>
          </w:p>
        </w:tc>
      </w:tr>
      <w:tr>
        <w:tc>
          <w:tcPr>
            <w:tcW w:type="dxa" w:w="1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203748"/>
                <w:sz w:val="19"/>
              </w:rPr>
              <w:t>Qué observar</w:t>
            </w:r>
          </w:p>
        </w:tc>
        <w:tc>
          <w:tcPr>
            <w:tcW w:type="dxa" w:w="74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203748"/>
                <w:sz w:val="19"/>
              </w:rPr>
              <w:t>Rama cubierta significa destino ejecutado; no necesariamente resultado correctamente comprobado.</w:t>
            </w:r>
          </w:p>
        </w:tc>
      </w:tr>
      <w:tr>
        <w:tc>
          <w:tcPr>
            <w:tcW w:type="dxa" w:w="1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203748"/>
                <w:sz w:val="19"/>
              </w:rPr>
              <w:t>Estado</w:t>
            </w:r>
          </w:p>
        </w:tc>
        <w:tc>
          <w:tcPr>
            <w:tcW w:type="dxa" w:w="74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203748"/>
                <w:sz w:val="19"/>
              </w:rPr>
              <w:t>PENDIENTE</w:t>
            </w:r>
          </w:p>
        </w:tc>
      </w:tr>
    </w:tbl>
    <w:p>
      <w:pPr>
        <w:spacing w:after="20"/>
      </w:pPr>
    </w:p>
    <w:p>
      <w:pPr>
        <w:pStyle w:val="Heading2"/>
      </w:pPr>
      <w:r>
        <w:t>Práctica guiada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rFonts w:ascii="Consolas" w:hAnsi="Consolas"/>
                <w:color w:val="202124"/>
                <w:sz w:val="18"/>
              </w:rPr>
              <w:t>python -m pytest --cov=testing_lab --cov-branch</w:t>
            </w:r>
            <w:r>
              <w:br/>
            </w:r>
            <w:r>
              <w:rPr>
                <w:rFonts w:ascii="Consolas" w:hAnsi="Consolas"/>
                <w:color w:val="202124"/>
                <w:sz w:val="18"/>
              </w:rPr>
              <w:t># preguntar por cada hueco antes de añadir un caso</w:t>
            </w:r>
          </w:p>
        </w:tc>
      </w:tr>
    </w:tbl>
    <w:p>
      <w:pPr>
        <w:spacing w:after="20"/>
      </w:pPr>
    </w:p>
    <w:p>
      <w:pPr>
        <w:pStyle w:val="Heading2"/>
      </w:pPr>
      <w:r>
        <w:t>Criterio de avance</w:t>
      </w:r>
    </w:p>
    <w:p>
      <w:r>
        <w:t>Puedes explicar qué prueba y qué no prueba un porcentaje de cobertura.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FFF7E6"/>
          </w:tcPr>
          <w:p>
            <w:pPr>
              <w:spacing w:after="0"/>
            </w:pPr>
            <w:r>
              <w:rPr>
                <w:rFonts w:ascii="Calibri" w:hAnsi="Calibri"/>
                <w:b/>
                <w:color w:val="1F4D78"/>
                <w:sz w:val="22"/>
              </w:rPr>
              <w:t xml:space="preserve">Pausa didáctica. </w:t>
            </w:r>
            <w:r>
              <w:rPr>
                <w:rFonts w:ascii="Calibri" w:hAnsi="Calibri"/>
                <w:color w:val="203748"/>
                <w:sz w:val="22"/>
              </w:rPr>
              <w:t>No se avanza al siguiente módulo hasta ejecutar, explicar el resultado y confirmar la actualización de este documento.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pStyle w:val="Heading1"/>
      </w:pPr>
      <w:r>
        <w:t>Módulo 14 — Automatización y definición de terminado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F4F6F9"/>
          </w:tcPr>
          <w:p>
            <w:pPr>
              <w:spacing w:after="0"/>
            </w:pPr>
            <w:r>
              <w:rPr>
                <w:rFonts w:ascii="Calibri" w:hAnsi="Calibri"/>
                <w:b/>
                <w:color w:val="1F4D78"/>
                <w:sz w:val="22"/>
              </w:rPr>
              <w:t xml:space="preserve">Aprendizaje nuevo. </w:t>
            </w:r>
            <w:r>
              <w:rPr>
                <w:rFonts w:ascii="Calibri" w:hAnsi="Calibri"/>
                <w:color w:val="203748"/>
                <w:sz w:val="22"/>
              </w:rPr>
              <w:t>CI ejecuta controles reproducibles ante cambios; una puerta de calidad declara condiciones de aceptación.</w:t>
            </w:r>
          </w:p>
        </w:tc>
      </w:tr>
    </w:tbl>
    <w:p>
      <w:pPr>
        <w:spacing w:after="20"/>
      </w:pP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900"/>
        <w:gridCol w:w="7460"/>
      </w:tblGrid>
      <w:tr>
        <w:trPr>
          <w:tblHeader w:val="true"/>
        </w:trPr>
        <w:tc>
          <w:tcPr>
            <w:tcW w:type="dxa" w:w="1900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color w:val="1F4D78"/>
                <w:sz w:val="20"/>
              </w:rPr>
              <w:t>Pregunta</w:t>
            </w:r>
          </w:p>
        </w:tc>
        <w:tc>
          <w:tcPr>
            <w:tcW w:type="dxa" w:w="7460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color w:val="1F4D78"/>
                <w:sz w:val="20"/>
              </w:rPr>
              <w:t>Respuesta</w:t>
            </w:r>
          </w:p>
        </w:tc>
      </w:tr>
      <w:tr>
        <w:tc>
          <w:tcPr>
            <w:tcW w:type="dxa" w:w="1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203748"/>
                <w:sz w:val="19"/>
              </w:rPr>
              <w:t>Qué</w:t>
            </w:r>
          </w:p>
        </w:tc>
        <w:tc>
          <w:tcPr>
            <w:tcW w:type="dxa" w:w="74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203748"/>
                <w:sz w:val="19"/>
              </w:rPr>
              <w:t>CI ejecuta controles reproducibles ante cambios; una puerta de calidad declara condiciones de aceptación.</w:t>
            </w:r>
          </w:p>
        </w:tc>
      </w:tr>
      <w:tr>
        <w:tc>
          <w:tcPr>
            <w:tcW w:type="dxa" w:w="1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203748"/>
                <w:sz w:val="19"/>
              </w:rPr>
              <w:t>Por qué</w:t>
            </w:r>
          </w:p>
        </w:tc>
        <w:tc>
          <w:tcPr>
            <w:tcW w:type="dxa" w:w="74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203748"/>
                <w:sz w:val="19"/>
              </w:rPr>
              <w:t>Una suite que solo se ejecuta manualmente puede olvidarse o depender del equipo local.</w:t>
            </w:r>
          </w:p>
        </w:tc>
      </w:tr>
      <w:tr>
        <w:tc>
          <w:tcPr>
            <w:tcW w:type="dxa" w:w="1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203748"/>
                <w:sz w:val="19"/>
              </w:rPr>
              <w:t>Para qué</w:t>
            </w:r>
          </w:p>
        </w:tc>
        <w:tc>
          <w:tcPr>
            <w:tcW w:type="dxa" w:w="74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203748"/>
                <w:sz w:val="19"/>
              </w:rPr>
              <w:t>Convertir pruebas, estilo y cobertura razonada en evidencia repetible.</w:t>
            </w:r>
          </w:p>
        </w:tc>
      </w:tr>
      <w:tr>
        <w:tc>
          <w:tcPr>
            <w:tcW w:type="dxa" w:w="1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203748"/>
                <w:sz w:val="19"/>
              </w:rPr>
              <w:t>Qué observar</w:t>
            </w:r>
          </w:p>
        </w:tc>
        <w:tc>
          <w:tcPr>
            <w:tcW w:type="dxa" w:w="74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203748"/>
                <w:sz w:val="19"/>
              </w:rPr>
              <w:t>La automatización no mejora pruebas débiles: solo las repite con disciplina.</w:t>
            </w:r>
          </w:p>
        </w:tc>
      </w:tr>
      <w:tr>
        <w:tc>
          <w:tcPr>
            <w:tcW w:type="dxa" w:w="1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203748"/>
                <w:sz w:val="19"/>
              </w:rPr>
              <w:t>Estado</w:t>
            </w:r>
          </w:p>
        </w:tc>
        <w:tc>
          <w:tcPr>
            <w:tcW w:type="dxa" w:w="74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203748"/>
                <w:sz w:val="19"/>
              </w:rPr>
              <w:t>PENDIENTE</w:t>
            </w:r>
          </w:p>
        </w:tc>
      </w:tr>
    </w:tbl>
    <w:p>
      <w:pPr>
        <w:spacing w:after="20"/>
      </w:pPr>
    </w:p>
    <w:p>
      <w:pPr>
        <w:pStyle w:val="Heading2"/>
      </w:pPr>
      <w:r>
        <w:t>Práctica guiada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rFonts w:ascii="Consolas" w:hAnsi="Consolas"/>
                <w:color w:val="202124"/>
                <w:sz w:val="18"/>
              </w:rPr>
              <w:t>push / pull request → entorno limpio → instalar → probar → informar</w:t>
            </w:r>
          </w:p>
        </w:tc>
      </w:tr>
    </w:tbl>
    <w:p>
      <w:pPr>
        <w:spacing w:after="20"/>
      </w:pPr>
    </w:p>
    <w:p>
      <w:pPr>
        <w:pStyle w:val="Heading2"/>
      </w:pPr>
      <w:r>
        <w:t>Criterio de avance</w:t>
      </w:r>
    </w:p>
    <w:p>
      <w:r>
        <w:t>Puedes definir una condición de terminado que incluya comportamiento, evidencia y mantenimiento.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FFF7E6"/>
          </w:tcPr>
          <w:p>
            <w:pPr>
              <w:spacing w:after="0"/>
            </w:pPr>
            <w:r>
              <w:rPr>
                <w:rFonts w:ascii="Calibri" w:hAnsi="Calibri"/>
                <w:b/>
                <w:color w:val="1F4D78"/>
                <w:sz w:val="22"/>
              </w:rPr>
              <w:t xml:space="preserve">Pausa didáctica. </w:t>
            </w:r>
            <w:r>
              <w:rPr>
                <w:rFonts w:ascii="Calibri" w:hAnsi="Calibri"/>
                <w:color w:val="203748"/>
                <w:sz w:val="22"/>
              </w:rPr>
              <w:t>No se avanza al siguiente módulo hasta ejecutar, explicar el resultado y confirmar la actualización de este documento.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pStyle w:val="Heading1"/>
      </w:pPr>
      <w:r>
        <w:t>Glosario esencial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200"/>
        <w:gridCol w:w="7160"/>
      </w:tblGrid>
      <w:tr>
        <w:trPr>
          <w:tblHeader w:val="true"/>
        </w:trPr>
        <w:tc>
          <w:tcPr>
            <w:tcW w:type="dxa" w:w="2200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color w:val="1F4D78"/>
                <w:sz w:val="20"/>
              </w:rPr>
              <w:t>Término</w:t>
            </w:r>
          </w:p>
        </w:tc>
        <w:tc>
          <w:tcPr>
            <w:tcW w:type="dxa" w:w="7160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color w:val="1F4D78"/>
                <w:sz w:val="20"/>
              </w:rPr>
              <w:t>Significado operativo</w:t>
            </w:r>
          </w:p>
        </w:tc>
      </w:tr>
      <w:tr>
        <w:tc>
          <w:tcPr>
            <w:tcW w:type="dxa" w:w="22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203748"/>
                <w:sz w:val="19"/>
              </w:rPr>
              <w:t>Contrato</w:t>
            </w:r>
          </w:p>
        </w:tc>
        <w:tc>
          <w:tcPr>
            <w:tcW w:type="dxa" w:w="71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203748"/>
                <w:sz w:val="19"/>
              </w:rPr>
              <w:t>Comportamiento observable acordado.</w:t>
            </w:r>
          </w:p>
        </w:tc>
      </w:tr>
      <w:tr>
        <w:tc>
          <w:tcPr>
            <w:tcW w:type="dxa" w:w="22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203748"/>
                <w:sz w:val="19"/>
              </w:rPr>
              <w:t>Caso de prueba</w:t>
            </w:r>
          </w:p>
        </w:tc>
        <w:tc>
          <w:tcPr>
            <w:tcW w:type="dxa" w:w="71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203748"/>
                <w:sz w:val="19"/>
              </w:rPr>
              <w:t>Situación, acción y expectativa concretas.</w:t>
            </w:r>
          </w:p>
        </w:tc>
      </w:tr>
      <w:tr>
        <w:tc>
          <w:tcPr>
            <w:tcW w:type="dxa" w:w="22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203748"/>
                <w:sz w:val="19"/>
              </w:rPr>
              <w:t>Regresión</w:t>
            </w:r>
          </w:p>
        </w:tc>
        <w:tc>
          <w:tcPr>
            <w:tcW w:type="dxa" w:w="71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203748"/>
                <w:sz w:val="19"/>
              </w:rPr>
              <w:t>Pérdida de un comportamiento que antes funcionaba.</w:t>
            </w:r>
          </w:p>
        </w:tc>
      </w:tr>
      <w:tr>
        <w:tc>
          <w:tcPr>
            <w:tcW w:type="dxa" w:w="22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203748"/>
                <w:sz w:val="19"/>
              </w:rPr>
              <w:t>Determinismo</w:t>
            </w:r>
          </w:p>
        </w:tc>
        <w:tc>
          <w:tcPr>
            <w:tcW w:type="dxa" w:w="71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203748"/>
                <w:sz w:val="19"/>
              </w:rPr>
              <w:t>Mismas condiciones producen el mismo resultado.</w:t>
            </w:r>
          </w:p>
        </w:tc>
      </w:tr>
      <w:tr>
        <w:tc>
          <w:tcPr>
            <w:tcW w:type="dxa" w:w="22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203748"/>
                <w:sz w:val="19"/>
              </w:rPr>
              <w:t>Fixture</w:t>
            </w:r>
          </w:p>
        </w:tc>
        <w:tc>
          <w:tcPr>
            <w:tcW w:type="dxa" w:w="71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203748"/>
                <w:sz w:val="19"/>
              </w:rPr>
              <w:t>Contexto fiable solicitado por una prueba.</w:t>
            </w:r>
          </w:p>
        </w:tc>
      </w:tr>
      <w:tr>
        <w:tc>
          <w:tcPr>
            <w:tcW w:type="dxa" w:w="22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203748"/>
                <w:sz w:val="19"/>
              </w:rPr>
              <w:t>Doble</w:t>
            </w:r>
          </w:p>
        </w:tc>
        <w:tc>
          <w:tcPr>
            <w:tcW w:type="dxa" w:w="71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203748"/>
                <w:sz w:val="19"/>
              </w:rPr>
              <w:t>Sustituto controlado de una dependencia.</w:t>
            </w:r>
          </w:p>
        </w:tc>
      </w:tr>
      <w:tr>
        <w:tc>
          <w:tcPr>
            <w:tcW w:type="dxa" w:w="22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203748"/>
                <w:sz w:val="19"/>
              </w:rPr>
              <w:t>Cobertura</w:t>
            </w:r>
          </w:p>
        </w:tc>
        <w:tc>
          <w:tcPr>
            <w:tcW w:type="dxa" w:w="71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203748"/>
                <w:sz w:val="19"/>
              </w:rPr>
              <w:t>Oportunidades de ejecución recorridas.</w:t>
            </w:r>
          </w:p>
        </w:tc>
      </w:tr>
      <w:tr>
        <w:tc>
          <w:tcPr>
            <w:tcW w:type="dxa" w:w="22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203748"/>
                <w:sz w:val="19"/>
              </w:rPr>
              <w:t>Trazabilidad</w:t>
            </w:r>
          </w:p>
        </w:tc>
        <w:tc>
          <w:tcPr>
            <w:tcW w:type="dxa" w:w="71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203748"/>
                <w:sz w:val="19"/>
              </w:rPr>
              <w:t>Relación entre riesgo, regla, prueba y evidencia.</w:t>
            </w:r>
          </w:p>
        </w:tc>
      </w:tr>
    </w:tbl>
    <w:p>
      <w:pPr>
        <w:spacing w:after="20"/>
      </w:pPr>
    </w:p>
    <w:p>
      <w:pPr>
        <w:pStyle w:val="Heading1"/>
      </w:pPr>
      <w:r>
        <w:t>Fuentes didácticas primarias</w:t>
      </w:r>
    </w:p>
    <w:p>
      <w:pPr>
        <w:pStyle w:val="ListBullet"/>
      </w:pPr>
      <w:r>
        <w:rPr>
          <w:rFonts w:ascii="Calibri" w:hAnsi="Calibri"/>
          <w:b/>
          <w:color w:val="1F4D78"/>
          <w:sz w:val="22"/>
        </w:rPr>
        <w:t xml:space="preserve">Python: entornos virtuales: </w:t>
      </w:r>
      <w:r>
        <w:rPr>
          <w:rFonts w:ascii="Calibri" w:hAnsi="Calibri"/>
          <w:color w:val="2E74B5"/>
          <w:sz w:val="19"/>
        </w:rPr>
        <w:t>https://docs.python.org/3/library/venv.html</w:t>
      </w:r>
    </w:p>
    <w:p>
      <w:pPr>
        <w:pStyle w:val="ListBullet"/>
      </w:pPr>
      <w:r>
        <w:rPr>
          <w:rFonts w:ascii="Calibri" w:hAnsi="Calibri"/>
          <w:b/>
          <w:color w:val="1F4D78"/>
          <w:sz w:val="22"/>
        </w:rPr>
        <w:t xml:space="preserve">PyPA: pyproject.toml: </w:t>
      </w:r>
      <w:r>
        <w:rPr>
          <w:rFonts w:ascii="Calibri" w:hAnsi="Calibri"/>
          <w:color w:val="2E74B5"/>
          <w:sz w:val="19"/>
        </w:rPr>
        <w:t>https://packaging.python.org/en/latest/guides/writing-pyproject-toml/</w:t>
      </w:r>
    </w:p>
    <w:p>
      <w:pPr>
        <w:pStyle w:val="ListBullet"/>
      </w:pPr>
      <w:r>
        <w:rPr>
          <w:rFonts w:ascii="Calibri" w:hAnsi="Calibri"/>
          <w:b/>
          <w:color w:val="1F4D78"/>
          <w:sz w:val="22"/>
        </w:rPr>
        <w:t xml:space="preserve">PyPA: src layout: </w:t>
      </w:r>
      <w:r>
        <w:rPr>
          <w:rFonts w:ascii="Calibri" w:hAnsi="Calibri"/>
          <w:color w:val="2E74B5"/>
          <w:sz w:val="19"/>
        </w:rPr>
        <w:t>https://packaging.python.org/en/latest/discussions/src-layout-vs-flat-layout/</w:t>
      </w:r>
    </w:p>
    <w:p>
      <w:pPr>
        <w:pStyle w:val="ListBullet"/>
      </w:pPr>
      <w:r>
        <w:rPr>
          <w:rFonts w:ascii="Calibri" w:hAnsi="Calibri"/>
          <w:b/>
          <w:color w:val="1F4D78"/>
          <w:sz w:val="22"/>
        </w:rPr>
        <w:t xml:space="preserve">pytest: primeros pasos: </w:t>
      </w:r>
      <w:r>
        <w:rPr>
          <w:rFonts w:ascii="Calibri" w:hAnsi="Calibri"/>
          <w:color w:val="2E74B5"/>
          <w:sz w:val="19"/>
        </w:rPr>
        <w:t>https://docs.pytest.org/en/stable/getting-started.html</w:t>
      </w:r>
    </w:p>
    <w:p>
      <w:pPr>
        <w:pStyle w:val="ListBullet"/>
      </w:pPr>
      <w:r>
        <w:rPr>
          <w:rFonts w:ascii="Calibri" w:hAnsi="Calibri"/>
          <w:b/>
          <w:color w:val="1F4D78"/>
          <w:sz w:val="22"/>
        </w:rPr>
        <w:t xml:space="preserve">pytest: buenas prácticas: </w:t>
      </w:r>
      <w:r>
        <w:rPr>
          <w:rFonts w:ascii="Calibri" w:hAnsi="Calibri"/>
          <w:color w:val="2E74B5"/>
          <w:sz w:val="19"/>
        </w:rPr>
        <w:t>https://docs.pytest.org/en/stable/explanation/goodpractices.html</w:t>
      </w:r>
    </w:p>
    <w:p>
      <w:pPr>
        <w:pStyle w:val="ListBullet"/>
      </w:pPr>
      <w:r>
        <w:rPr>
          <w:rFonts w:ascii="Calibri" w:hAnsi="Calibri"/>
          <w:b/>
          <w:color w:val="1F4D78"/>
          <w:sz w:val="22"/>
        </w:rPr>
        <w:t xml:space="preserve">pytest: parametrización: </w:t>
      </w:r>
      <w:r>
        <w:rPr>
          <w:rFonts w:ascii="Calibri" w:hAnsi="Calibri"/>
          <w:color w:val="2E74B5"/>
          <w:sz w:val="19"/>
        </w:rPr>
        <w:t>https://docs.pytest.org/en/stable/how-to/parametrize.html</w:t>
      </w:r>
    </w:p>
    <w:p>
      <w:pPr>
        <w:pStyle w:val="ListBullet"/>
      </w:pPr>
      <w:r>
        <w:rPr>
          <w:rFonts w:ascii="Calibri" w:hAnsi="Calibri"/>
          <w:b/>
          <w:color w:val="1F4D78"/>
          <w:sz w:val="22"/>
        </w:rPr>
        <w:t xml:space="preserve">pytest: fixtures: </w:t>
      </w:r>
      <w:r>
        <w:rPr>
          <w:rFonts w:ascii="Calibri" w:hAnsi="Calibri"/>
          <w:color w:val="2E74B5"/>
          <w:sz w:val="19"/>
        </w:rPr>
        <w:t>https://docs.pytest.org/en/stable/how-to/fixtures.html</w:t>
      </w:r>
    </w:p>
    <w:p>
      <w:pPr>
        <w:pStyle w:val="ListBullet"/>
      </w:pPr>
      <w:r>
        <w:rPr>
          <w:rFonts w:ascii="Calibri" w:hAnsi="Calibri"/>
          <w:b/>
          <w:color w:val="1F4D78"/>
          <w:sz w:val="22"/>
        </w:rPr>
        <w:t xml:space="preserve">pytest: subtests: </w:t>
      </w:r>
      <w:r>
        <w:rPr>
          <w:rFonts w:ascii="Calibri" w:hAnsi="Calibri"/>
          <w:color w:val="2E74B5"/>
          <w:sz w:val="19"/>
        </w:rPr>
        <w:t>https://docs.pytest.org/en/stable/how-to/subtests.html</w:t>
      </w:r>
    </w:p>
    <w:p>
      <w:pPr>
        <w:pStyle w:val="ListBullet"/>
      </w:pPr>
      <w:r>
        <w:rPr>
          <w:rFonts w:ascii="Calibri" w:hAnsi="Calibri"/>
          <w:b/>
          <w:color w:val="1F4D78"/>
          <w:sz w:val="22"/>
        </w:rPr>
        <w:t xml:space="preserve">pytest: marcadores: </w:t>
      </w:r>
      <w:r>
        <w:rPr>
          <w:rFonts w:ascii="Calibri" w:hAnsi="Calibri"/>
          <w:color w:val="2E74B5"/>
          <w:sz w:val="19"/>
        </w:rPr>
        <w:t>https://docs.pytest.org/en/stable/how-to/mark.html</w:t>
      </w:r>
    </w:p>
    <w:p>
      <w:pPr>
        <w:pStyle w:val="ListBullet"/>
      </w:pPr>
      <w:r>
        <w:rPr>
          <w:rFonts w:ascii="Calibri" w:hAnsi="Calibri"/>
          <w:b/>
          <w:color w:val="1F4D78"/>
          <w:sz w:val="22"/>
        </w:rPr>
        <w:t xml:space="preserve">Coverage.py: </w:t>
      </w:r>
      <w:r>
        <w:rPr>
          <w:rFonts w:ascii="Calibri" w:hAnsi="Calibri"/>
          <w:color w:val="2E74B5"/>
          <w:sz w:val="19"/>
        </w:rPr>
        <w:t>https://coverage.readthedocs.io/en/latest/</w:t>
      </w:r>
    </w:p>
    <w:p>
      <w:pPr>
        <w:pStyle w:val="Heading2"/>
      </w:pPr>
      <w:r>
        <w:t>Punto de reanudación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FFF7E6"/>
          </w:tcPr>
          <w:p>
            <w:pPr>
              <w:spacing w:after="0"/>
            </w:pPr>
            <w:r>
              <w:rPr>
                <w:rFonts w:ascii="Calibri" w:hAnsi="Calibri"/>
                <w:b/>
                <w:color w:val="1F4D78"/>
                <w:sz w:val="22"/>
              </w:rPr>
              <w:t xml:space="preserve">Siguiente módulo operativo. </w:t>
            </w:r>
            <w:r>
              <w:rPr>
                <w:rFonts w:ascii="Calibri" w:hAnsi="Calibri"/>
                <w:color w:val="203748"/>
                <w:sz w:val="22"/>
              </w:rPr>
              <w:t>Completar y verificar pyproject.toml. Después se estudiará la clasificación de dependencias antes de instalar pytest.</w:t>
            </w:r>
          </w:p>
        </w:tc>
      </w:tr>
    </w:tbl>
    <w:p>
      <w:pPr>
        <w:spacing w:after="20"/>
      </w:pPr>
    </w:p>
    <w:sectPr w:rsidR="00FC693F" w:rsidRPr="0006063C" w:rsidSect="00034616">
      <w:headerReference w:type="default" r:id="rId9"/>
      <w:footerReference w:type="default" r:id="rId10"/>
      <w:pgSz w:w="12240" w:h="15840"/>
      <w:pgMar w:top="1152" w:right="1440" w:bottom="1152" w:left="1440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667085"/>
        <w:sz w:val="18"/>
      </w:rPr>
      <w:t xml:space="preserve">Página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Calibri" w:hAnsi="Calibri"/>
        <w:b/>
        <w:color w:val="667085"/>
        <w:sz w:val="17"/>
      </w:rPr>
      <w:t>LABORATORIO DE TESTING · CUADERNO VIVO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/>
      <w:color w:val="203748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160" w:line="240" w:lineRule="auto" w:before="0"/>
      <w:contextualSpacing/>
    </w:pPr>
    <w:rPr>
      <w:rFonts w:asciiTheme="majorHAnsi" w:eastAsiaTheme="majorEastAsia" w:hAnsiTheme="majorHAnsi" w:cstheme="majorBidi" w:ascii="Calibri" w:hAnsi="Calibri"/>
      <w:b/>
      <w:color w:val="1F4D78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before="0" w:after="320"/>
    </w:pPr>
    <w:rPr>
      <w:rFonts w:asciiTheme="majorHAnsi" w:eastAsiaTheme="majorEastAsia" w:hAnsiTheme="majorHAnsi" w:cstheme="majorBidi" w:ascii="Calibri" w:hAnsi="Calibri"/>
      <w:b w:val="0"/>
      <w:i/>
      <w:iCs/>
      <w:color w:val="667085"/>
      <w:spacing w:val="15"/>
      <w:sz w:val="28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 w:line="300" w:lineRule="auto"/>
      <w:ind w:left="540" w:hanging="271"/>
      <w:contextualSpacing/>
    </w:pPr>
    <w:rPr>
      <w:rFonts w:ascii="Calibri" w:hAnsi="Calibri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80" w:line="300" w:lineRule="auto"/>
      <w:ind w:left="540" w:hanging="271"/>
      <w:contextualSpacing/>
    </w:pPr>
    <w:rPr>
      <w:rFonts w:ascii="Calibri" w:hAnsi="Calibri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Marco de aprendizaje de testing</dc:title>
  <dc:subject>Cuaderno modular de Python y pytest</dc:subject>
  <dc:creator>Laboratorio de testing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