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МИНИСТЕРСТВО ОБРАЗОВАНИЯ И НАУКИ</w:t>
      </w:r>
    </w:p>
    <w:p>
      <w:pPr>
        <w:spacing w:before="0" w:after="36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РОССИЙСКОЙ ФЕДЕРАЦИИ</w:t>
      </w:r>
    </w:p>
    <w:p>
      <w:pPr>
        <w:spacing w:before="0" w:after="1200" w:line="360" w:lineRule="auto"/>
        <w:ind w:firstLine="0"/>
        <w:jc w:val="center"/>
      </w:pPr>
      <w:r>
        <w:rPr>
          <w:rFonts w:ascii="Times New Roman" w:hAnsi="Times New Roman"/>
          <w:b w:val="0"/>
          <w:i/>
          <w:sz w:val="28"/>
        </w:rPr>
        <w:t>Кафедра программной инженерии</w:t>
      </w:r>
    </w:p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ОТЧЁТ ПО ЛАБОРАТОРНОЙ РАБОТЕ</w:t>
      </w:r>
    </w:p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по дисциплине «Сопровождение программных средств»</w:t>
      </w:r>
    </w:p>
    <w:p>
      <w:pPr>
        <w:spacing w:before="0" w:after="96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Тема: Управление модификацией и перемещением программных продуктов</w:t>
        <w:br/>
        <w:t>(приложение и контейнер журналирования событий доступа)</w:t>
        <w:br/>
        <w:t>согласно ГОСТ Р ИСО/МЭК 12207–2010</w:t>
      </w:r>
    </w:p>
    <w:p>
      <w:pPr>
        <w:spacing w:before="0" w:after="12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Выполнил: студент группы ____</w:t>
        <w:br/>
        <w:t>_______________________</w:t>
        <w:br/>
        <w:t>«___» ____________ 2026 г.</w:t>
      </w:r>
    </w:p>
    <w:p>
      <w:pPr>
        <w:spacing w:before="0" w:after="1200" w:line="36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Проверил: ____________________</w:t>
        <w:br/>
        <w:t>_______________________</w:t>
        <w:br/>
        <w:t>«___» ____________ 2026 г.</w:t>
      </w:r>
    </w:p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Москва – 2026</w:t>
      </w:r>
    </w:p>
    <w:p>
      <w:r>
        <w:br w:type="page"/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АННОТАЦИЯ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Настоящий документ выполнен в рамках лабораторной работы по дисциплине «Сопровождение программных средств» и содержит результаты выполнения заданий 1–2 согласно требованиям ГОСТ Р ИСО/МЭК 12207–2010 «Информационная технология. Системная и программная инженерия. Процессы жизненного цикла программных средств».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Объектом сопровождения является система информационного сервиса в сети, разработанная в начале 2000-х годов и функционировавшая на незашифрованном протоколе HTTP, а также контейнер журналирования событий доступа, разработанный в ходе лабораторной работы 1.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Документ разработан применительно к двум программным продуктам: веб-приложению информационного сервиса и Docker-контейнеру журналирования. Цель сопровождения — управление модификацией и перемещением программных продуктов, включая переход с незашифрованного протокола HTTP на защищённый HTTPS.</w:t>
      </w:r>
    </w:p>
    <w:p>
      <w:r>
        <w:br w:type="page"/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СОДЕРЖАНИЕ</w:t>
      </w:r>
    </w:p>
    <w:p>
      <w:pPr>
        <w:tabs>
          <w:tab w:pos="8787" w:val="left"/>
        </w:tabs>
        <w:spacing w:after="60"/>
        <w:ind w:firstLine="0"/>
      </w:pPr>
      <w:r>
        <w:rPr>
          <w:rFonts w:ascii="Times New Roman" w:hAnsi="Times New Roman"/>
          <w:sz w:val="28"/>
        </w:rPr>
        <w:t>Аннотация</w:t>
      </w:r>
    </w:p>
    <w:p>
      <w:pPr>
        <w:tabs>
          <w:tab w:pos="8787" w:val="left"/>
        </w:tabs>
        <w:spacing w:after="60"/>
        <w:ind w:firstLine="0"/>
      </w:pPr>
      <w:r>
        <w:rPr>
          <w:rFonts w:ascii="Times New Roman" w:hAnsi="Times New Roman"/>
          <w:sz w:val="28"/>
        </w:rPr>
        <w:t>Введение</w:t>
      </w:r>
    </w:p>
    <w:p>
      <w:pPr>
        <w:tabs>
          <w:tab w:pos="8787" w:val="left"/>
        </w:tabs>
        <w:spacing w:after="60"/>
        <w:ind w:firstLine="0"/>
      </w:pPr>
      <w:r>
        <w:rPr>
          <w:rFonts w:ascii="Times New Roman" w:hAnsi="Times New Roman"/>
          <w:sz w:val="28"/>
        </w:rPr>
        <w:t>1  Стратегия сопровождения для управления модификацией и перемещением программных продуктов</w:t>
      </w:r>
    </w:p>
    <w:p>
      <w:pPr>
        <w:tabs>
          <w:tab w:pos="8787" w:val="left"/>
        </w:tabs>
        <w:spacing w:after="60"/>
        <w:ind w:firstLine="0"/>
      </w:pPr>
      <w:r>
        <w:rPr>
          <w:rFonts w:ascii="Times New Roman" w:hAnsi="Times New Roman"/>
          <w:sz w:val="28"/>
        </w:rPr>
        <w:t>1.1  Идентификация и классификация программных продуктов</w:t>
      </w:r>
    </w:p>
    <w:p>
      <w:pPr>
        <w:tabs>
          <w:tab w:pos="8787" w:val="left"/>
        </w:tabs>
        <w:spacing w:after="60"/>
        <w:ind w:firstLine="0"/>
      </w:pPr>
      <w:r>
        <w:rPr>
          <w:rFonts w:ascii="Times New Roman" w:hAnsi="Times New Roman"/>
          <w:sz w:val="28"/>
        </w:rPr>
        <w:t>1.2  Стратегия выпусков</w:t>
      </w:r>
    </w:p>
    <w:p>
      <w:pPr>
        <w:tabs>
          <w:tab w:pos="8787" w:val="left"/>
        </w:tabs>
        <w:spacing w:after="60"/>
        <w:ind w:firstLine="0"/>
      </w:pPr>
      <w:r>
        <w:rPr>
          <w:rFonts w:ascii="Times New Roman" w:hAnsi="Times New Roman"/>
          <w:sz w:val="28"/>
        </w:rPr>
        <w:t>1.3  Управление модификацией приложения (переход HTTP → HTTPS)</w:t>
      </w:r>
    </w:p>
    <w:p>
      <w:pPr>
        <w:tabs>
          <w:tab w:pos="8787" w:val="left"/>
        </w:tabs>
        <w:spacing w:after="60"/>
        <w:ind w:firstLine="0"/>
      </w:pPr>
      <w:r>
        <w:rPr>
          <w:rFonts w:ascii="Times New Roman" w:hAnsi="Times New Roman"/>
          <w:sz w:val="28"/>
        </w:rPr>
        <w:t>1.4  Управление перемещением контейнера</w:t>
      </w:r>
    </w:p>
    <w:p>
      <w:pPr>
        <w:tabs>
          <w:tab w:pos="8787" w:val="left"/>
        </w:tabs>
        <w:spacing w:after="60"/>
        <w:ind w:firstLine="0"/>
      </w:pPr>
      <w:r>
        <w:rPr>
          <w:rFonts w:ascii="Times New Roman" w:hAnsi="Times New Roman"/>
          <w:sz w:val="28"/>
        </w:rPr>
        <w:t>1.5  Конфигурационное управление</w:t>
      </w:r>
    </w:p>
    <w:p>
      <w:pPr>
        <w:tabs>
          <w:tab w:pos="8787" w:val="left"/>
        </w:tabs>
        <w:spacing w:after="60"/>
        <w:ind w:firstLine="0"/>
      </w:pPr>
      <w:r>
        <w:rPr>
          <w:rFonts w:ascii="Times New Roman" w:hAnsi="Times New Roman"/>
          <w:sz w:val="28"/>
        </w:rPr>
        <w:t>1.6  Верификация и валидация изменений</w:t>
      </w:r>
    </w:p>
    <w:p>
      <w:pPr>
        <w:tabs>
          <w:tab w:pos="8787" w:val="left"/>
        </w:tabs>
        <w:spacing w:after="60"/>
        <w:ind w:firstLine="0"/>
      </w:pPr>
      <w:r>
        <w:rPr>
          <w:rFonts w:ascii="Times New Roman" w:hAnsi="Times New Roman"/>
          <w:sz w:val="28"/>
        </w:rPr>
        <w:t>2  Описание изменений в существующей системе</w:t>
      </w:r>
    </w:p>
    <w:p>
      <w:pPr>
        <w:tabs>
          <w:tab w:pos="8787" w:val="left"/>
        </w:tabs>
        <w:spacing w:after="60"/>
        <w:ind w:firstLine="0"/>
      </w:pPr>
      <w:r>
        <w:rPr>
          <w:rFonts w:ascii="Times New Roman" w:hAnsi="Times New Roman"/>
          <w:sz w:val="28"/>
        </w:rPr>
        <w:t>2.1  Изменения в архитектуре системы</w:t>
      </w:r>
    </w:p>
    <w:p>
      <w:pPr>
        <w:tabs>
          <w:tab w:pos="8787" w:val="left"/>
        </w:tabs>
        <w:spacing w:after="60"/>
        <w:ind w:firstLine="0"/>
      </w:pPr>
      <w:r>
        <w:rPr>
          <w:rFonts w:ascii="Times New Roman" w:hAnsi="Times New Roman"/>
          <w:sz w:val="28"/>
        </w:rPr>
        <w:t>2.2  Изменения в операциях системы</w:t>
      </w:r>
    </w:p>
    <w:p>
      <w:pPr>
        <w:tabs>
          <w:tab w:pos="8787" w:val="left"/>
        </w:tabs>
        <w:spacing w:after="60"/>
        <w:ind w:firstLine="0"/>
      </w:pPr>
      <w:r>
        <w:rPr>
          <w:rFonts w:ascii="Times New Roman" w:hAnsi="Times New Roman"/>
          <w:sz w:val="28"/>
        </w:rPr>
        <w:t>2.3  Изменения в интерфейсах системы</w:t>
      </w:r>
    </w:p>
    <w:p>
      <w:pPr>
        <w:tabs>
          <w:tab w:pos="8787" w:val="left"/>
        </w:tabs>
        <w:spacing w:after="60"/>
        <w:ind w:firstLine="0"/>
      </w:pPr>
      <w:r>
        <w:rPr>
          <w:rFonts w:ascii="Times New Roman" w:hAnsi="Times New Roman"/>
          <w:sz w:val="28"/>
        </w:rPr>
        <w:t>Заключение</w:t>
      </w:r>
    </w:p>
    <w:p>
      <w:pPr>
        <w:tabs>
          <w:tab w:pos="8787" w:val="left"/>
        </w:tabs>
        <w:spacing w:after="60"/>
        <w:ind w:firstLine="0"/>
      </w:pPr>
      <w:r>
        <w:rPr>
          <w:rFonts w:ascii="Times New Roman" w:hAnsi="Times New Roman"/>
          <w:sz w:val="28"/>
        </w:rPr>
        <w:t>Список использованных источников</w:t>
      </w:r>
    </w:p>
    <w:p>
      <w:r>
        <w:br w:type="page"/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ВВЕДЕНИЕ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Настоящий документ разработан в соответствии с требованиями ГОСТ Р ИСО/МЭК 12207–2010 «Информационная технология. Системная и программная инженерия. Процессы жизненного цикла программных средств» и определяет стратегию сопровождения, а также описывает необходимые изменения в системе для управления модификацией и перемещением программных продуктов.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Согласно разделу 6.4.7 ГОСТ Р ИСО/МЭК 12207–2010, процесс сопровождения программных средств охватывает следующие основные группы работ: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анализ проблем и запросов на модификацию;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реализацию модификаций;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проверку и приёмку результатов модификаций;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перенос (перемещение) программных продуктов;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вывод программных продуктов из эксплуатации.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Объектом сопровождения является система информационного сервиса в сети, созданная в начале 2000-х годов. Исторически система функционировала на протоколе HTTP. В связи с требованиями информационной безопасности, предъявляемыми Компанией 1 (заказчиком), Компания 2 (разработчик) обязана обеспечить переход на протокол HTTPS на всех веб-сайтах заказчика, а также актуализировать контейнерную инфраструктуру.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Особенностью проекта является то, что исходные тексты приложения ранее собирались на старой версии виртуальной машины Linux, которая более не функционирует. Следовательно, при сопровождении необходимо решить задачу восстановления сборочной среды в рамках современной контейнерной инфраструктуры (Docker), а также обеспечить корректную передачу и воспроизводимость сборок.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Стратегия выпусков, принятая в настоящем документе, предполагает обновление программных компонент в соответствии со статистическими данными вендоров за предыдущий год, что обеспечивает использование актуальных, поддерживаемых и защищённых версий программного обеспечения.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Документ содержит два основных раздела: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Раздел 1 — стратегия сопровождения, определяющая план управления модификацией и перемещением программных продуктов;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Раздел 2 — описание конкретных изменений в архитектуре, операциях и интерфейсах контейнера журналирования событий доступа.</w:t>
      </w:r>
    </w:p>
    <w:p>
      <w:r>
        <w:br w:type="page"/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1  СТРАТЕГИЯ СОПРОВОЖДЕНИЯ ДЛЯ УПРАВЛЕНИЯ МОДИФИКАЦИЕЙ</w:t>
        <w:br/>
        <w:t>И ПЕРЕМЕЩЕНИЕМ ПРОГРАММНЫХ ПРОДУКТОВ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1.1  Идентификация и классификация программных продуктов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соответствии с п. 6.4.7.2.1 ГОСТ Р ИСО/МЭК 12207–2010 на первом этапе процесса сопровождения осуществляется идентификация объектов сопровождения.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Программные продукты, подлежащие сопровождению, представлены в таблице 1.1.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Идентификатор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Наименование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Тип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Версия / состояние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PP-01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Веб-приложение информационного сервиса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Приложение (бинарные артефакты)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Сборка 2003–2010 гг., HTTP-only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PP-02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Контейнер журналирования событий доступа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Docker-образ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v1.0, сборка ЛР1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PP-03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Конфигурация обратного прокси (Nginx)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Конфигурационный артефакт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Отсутствует (подлежит разработке)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PP-04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TLS-сертификаты и ключи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Криптографические артефакты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Отсутствуют (подлежат получению)</w:t>
            </w:r>
          </w:p>
        </w:tc>
      </w:tr>
    </w:tbl>
    <w:p>
      <w:pPr>
        <w:spacing w:before="0" w:after="12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1.1 — Перечень программных продуктов, подлежащих сопровождению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Классификация запроса на модификацию (по п. 6.4.7.3.1 ГОСТ Р ИСО/МЭК 12207–2010) определена как корректирующее и перфекционирующее сопровождение одновременно: корректирующее — в части устранения уязвимости (передача данных в открытом виде), перфекционирующее — в части повышения производительности и соответствия современным требованиям безопасности.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1.2  Стратегия выпусков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Стратегия выпусков формируется на основании статистических данных вендоров об обновлениях компонент за предыдущий год (2025). В качестве нормативной основы применяется п. 6.4.7.3 ГОСТ Р ИСО/МЭК 12207–2010, регламентирующий реализацию процесса сопровождения.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1.2.1  Принципы формирования версий выпусков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Нумерация выпусков осуществляется по схеме семантического версионирования MAJOR.MINOR.PATCH, где: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MAJOR — несовместимые изменения архитектуры или протокола (например, переход HTTP → HTTPS);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MINOR — добавление новой функциональности обратно совместимым способом;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PATCH — исправление ошибок без изменения интерфейсов.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1.2.2  Плановые выпуски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Таблица 1.2 отражает плановые выпуски на период сопровождения с учётом статистики обновлений вендоров за 2025 год.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Выпуск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Версия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Срок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Содержание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Основание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R-01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2.0.0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Q2 2026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Переход на HTTPS, обновление Nginx до 1.26 LTS, пересборка приложения на актуальном дистрибутиве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CVE-2024-*, Nginx LTS 2025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R-02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2.1.0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Q3 2026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Обновление контейнера журналирования: базовый образ Alpine 3.21, обновление зависимостей Python/Go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Alpine release stats 2025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R-03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2.1.1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Q4 2026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Патч-обновление TLS-конфигурации (отключение TLS 1.0/1.1), ротация сертификатов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NIST SP 800-52r2, Let's Encrypt policy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R-04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2.2.0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Q1 2027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Внедрение HSTS, CSP-заголовков, обновление до OpenSSL 3.x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Vend. stats 2025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R-05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3.0.0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Q2 2027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Полный перевод инфраструктуры в оркестратор Kubernetes, обновление всех образов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2"/>
              </w:rPr>
              <w:t>CNCF survey 2025</w:t>
            </w:r>
          </w:p>
        </w:tc>
      </w:tr>
    </w:tbl>
    <w:p>
      <w:pPr>
        <w:spacing w:before="0" w:after="12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1.2 — Плановые выпуски в рамках стратегии сопровождения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1.3  Управление модификацией приложения (переход HTTP → HTTPS)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Согласно п. 6.4.7.3.2 ГОСТ Р ИСО/МЭК 12207–2010, реализация модификации включает анализ запроса, разработку решения, реализацию, тестирование и документирование.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1.3.1  Анализ запроса на модификацию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Исходный запрос на модификацию (ЗМ-001) сформирован Компанией 1 и описывает следующую проблему: все веб-сайты Компании 1 функционируют по протоколу HTTP, передавая пользовательские данные и данные аутентификации в незашифрованном виде. Это создаёт угрозы атаки типа «человек посередине» (MitM), перехвата сессионных куки и несанкционированного доступа к данным.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Приоритет ЗМ-001 определён как критический (класс безопасности — конфиденциальность и целостность данных).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1.3.2  Разработка решения по модификации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Решение предусматривает следующие технические мероприятия: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Получение и установку TLS-сертификатов X.509 (Let's Encrypt или корпоративный УЦ) для всех доменов Компании 1.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Развёртывание обратного прокси-сервера Nginx (версия 1.26 LTS согласно данным вендора за 2025 год) с конфигурацией TLS: поддержка TLS 1.2 и TLS 1.3, отключение устаревших версий (TLS 1.0, TLS 1.1, SSL 3.0).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Настройку принудительного перенаправления HTTP → HTTPS (301 Moved Permanently) для всех входящих запросов.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Активацию заголовка HTTP Strict Transport Security (HSTS) с параметром max-age не менее 31536000 секунд.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Пересборку исходных текстов приложения в контейнеризированной сборочной среде (Docker multi-stage build) ввиду недоступности оригинальной виртуальной машины.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1.3.3  Восстановление сборочной среды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Поскольку исходная сборочная среда (виртуальная машина Linux) утрачена, сборочная цепочка воссоздаётся в виде многоэтапного Dockerfile (multi-stage build):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Этап 1 (builder): базовый образ — debian:bullseye-slim или alpine:3.21; установка компилятора, зависимостей и сборка приложения из исходных текстов;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Этап 2 (runtime): базовый образ — distroless/base или alpine:3.21; копирование только скомпилированных артефактов, минимизация поверхности атаки.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Данный подход соответствует требованиям воспроизводимости сборок и документируется в артефакте «Сборочный манифест» (Build Manifest), хранимом в системе контроля версий совместно с исходными текстами.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1.4  Управление перемещением контейнера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Перемещение (миграция) программных продуктов регулируется п. 6.4.7.3.4 ГОСТ Р ИСО/МЭК 12207–2010 «Перенос».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1.4.1  Цели перемещения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Целями перемещения контейнера журналирования событий доступа являются: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перевод контейнерной инфраструктуры с устаревшего хоста на целевую производственную среду (bare-metal сервер или облачная платформа) без потери накопленных журналов;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обновление базового образа контейнера с Alpine 3.18 до Alpine 3.21 (LTS) согласно данным Alpine Linux о поддержке версий за 2025 год;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обеспечение целостности и непрерывности процесса журналирования в период перемещения.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1.4.2  Порядок перемещения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Перемещение осуществляется в соответствии со следующей процедурой: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Шаг 1. Создание резервной копии тома данных журналов (Docker volume backup) с верификацией контрольных сумм (SHA-256).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Шаг 2. Публикация нового образа контейнера в реестре образов (Container Registry) с семантическим тегом версии (например, access-logger:2.0.0).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Шаг 3. Развёртывание нового образа в целевой среде параллельно с работой старого контейнера (blue-green deployment).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Шаг 4. Верификация функционирования нового контейнера: проверка записи журналов, доступности HTTPS-эндпоинтов, корректности форматов записей.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Шаг 5. Переключение маршрутизации трафика на новый контейнер.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Шаг 6. Остановка и удаление старого контейнера после подтверждения стабильности.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Шаг 7. Архивирование образа старой версии с сохранением в хранилище артефактов сроком не менее 2 лет.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1.4.3  Критерии успешности перемещения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Перемещение считается успешным при выполнении всех следующих условий: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все события доступа за период работы нового контейнера присутствуют в журнале;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отсутствуют потери записей журнала в период переключения;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все соединения с приложением устанавливаются исключительно по протоколу HTTPS;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новый контейнер проходит все тесты раздела 1.6 настоящего документа.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1.5  Конфигурационное управление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соответствии с п. 6.2.2 ГОСТ Р ИСО/МЭК 12207–2010 «Управление конфигурацией» для всех программных продуктов устанавливаются следующие требования: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Все артефакты (Dockerfile, конфигурационные файлы Nginx, docker-compose.yml, скрипты развёртывания) хранятся в системе контроля версий Git с использованием модели ветвления GitFlow.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Каждый выпуск помечается тегом вида vMAJOR.MINOR.PATCH.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Изменения в конфигурации TLS (смена алгоритмов шифрования, обновление сертификатов) документируются в журнале изменений (CHANGELOG.md) с указанием даты, автора и основания изменения.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Секреты (приватные ключи TLS, пароли) не хранятся в системе контроля версий; для их управления используется механизм Docker Secrets или внешнее хранилище секретов (HashiCorp Vault).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Базовые образы контейнеров фиксируются по SHA-дайджесту (digest pinning) для обеспечения воспроизводимости.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1.6  Верификация и валидация изменений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Согласно п. 6.4.7.3.3 ГОСТ Р ИСО/МЭК 12207–2010 «Проверка и приёмка сопровождения», перед вводом изменений в промышленную эксплуатацию проводится верификация и валидация.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1.6.1  Верификационные тесты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Верификация (соответствие реализации требованиям) включает: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V-01: Проверка доступности приложения по HTTPS (curl -I https://domain.example → HTTP 200).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V-02: Проверка перенаправления HTTP → HTTPS (curl -I http://domain.example → HTTP 301, Location: https://...).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V-03: Проверка TLS-конфигурации (testssl.sh или ssllabs.com: оценка A или A+).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V-04: Проверка наличия заголовка HSTS в ответе сервера.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V-05: Проверка записи событий HTTPS-соединений в журнал контейнера журналирования.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V-06: Целостность журналов: количество записей в новом контейнере ≥ количество записей в старом за тот же временной интервал.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1.6.2  Валидационные тесты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Валидация (соответствие реализации ожиданиям заказчика) включает: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Val-01: Приёмочное тестирование Компанией 1: демонстрация работы всех веб-сайтов по HTTPS.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Val-02: Отсутствие предупреждений браузера «Небезопасное соединение».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Val-03: Корректное отображение журналов в пользовательском интерфейсе мониторинга.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Val-04: Нагрузочное тестирование: производительность HTTPS не ниже 95% от HTTP-baseline.</w:t>
      </w:r>
    </w:p>
    <w:p>
      <w:r>
        <w:br w:type="page"/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2  ОПИСАНИЕ ИЗМЕНЕНИЙ В СУЩЕСТВУЮЩЕЙ СИСТЕМЕ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Настоящий раздел содержит описание изменений в архитектуре, операциях и интерфейсах системы, применительно к контейнеру журналирования событий доступа, разработанному в ЛР1. Описание составлено в соответствии с требованиями п. 6.4.7.3.2 ГОСТ Р ИСО/МЭК 12207–2010.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2.1  Изменения в архитектуре системы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2.1.1  Исходная архитектура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 выполнения модификации архитектура системы представляла собой монолитное веб-приложение, взаимодействующее с клиентами напрямую по протоколу HTTP/1.1 на порту 80. Контейнер журналирования событий доступа (далее — КЖД) монтировал лог-файл приложения через механизм bind-mount и записывал события доступа во внутреннюю базу данных (SQLite) внутри контейнера.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Схема исходной архитектуры (текстовое описание):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Клиент → [HTTP:80] → Веб-приложение (контейнер app) → БД приложения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Веб-приложение → [лог-файл, bind-mount] → КЖД (контейнер logger) → SQLite-журнал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2.1.2  Целевая архитектура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После реализации модификации архитектура приобретает многоуровневый вид с разделением ответственности между компонентами.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Схема целевой архитектуры (текстовое описание):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Клиент → [HTTPS:443] → Nginx reverse proxy (TLS-termination) → [HTTP:8080, внутр. сеть] → Веб-приложение (контейнер app)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Клиент → [HTTP:80] → Nginx (301 redirect) → [HTTPS:443] → ...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Nginx → [access.log, syslog-формат] → КЖД (контейнер logger v2.0) → PostgreSQL/SQLite-журнал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КЖД → [API] → Сервис мониторинга (опционально)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Ключевые архитектурные изменения: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Введён новый компонент — контейнер обратного прокси Nginx, принимающий TLS-соединения. Nginx выступает единственной точкой входа в систему снаружи.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КЖД переориентирован на чтение журналов от Nginx, а не от приложения напрямую. Это обеспечивает журналирование всех HTTP/HTTPS-запросов на уровне прокси, что является более полным и корректным способом аудита доступа.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Внутренняя сеть Docker (internal network) изолирует контейнеры app и logger от внешней сети; только контейнер Nginx имеет опубликованные порты (80, 443).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Данные журналов выносятся из SQLite в именованный Docker-том (volume), отделяя данные от жизненного цикла контейнера.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Изменения в компонентном составе отражены в таблице 2.1.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Компонент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Статус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Версия до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Версия после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Веб-приложение (app)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Изменён (пересборка)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HTTP-only, Python 3.8 / Go 1.16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HTTPS-ready, Python 3.12 / Go 1.22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КЖД (logger)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Изменён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v1.0, Alpine 3.18, SQLite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v2.0, Alpine 3.21, PostgreSQL (опц.)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Nginx reverse proxy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Новый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Отсутствует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v1.26 LTS, TLS 1.2/1.3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Docker Compose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Изменён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v3.7, 2 сервиса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v3.9, 3 сервиса + volumes + networks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TLS-сертификат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Новый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Отсутствует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X.509 v3, RSA-2048 / ECDSA P-256</w:t>
            </w:r>
          </w:p>
        </w:tc>
      </w:tr>
    </w:tbl>
    <w:p>
      <w:pPr>
        <w:spacing w:before="0" w:after="12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2.1 — Изменения компонентного состава системы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2.1.3  Обоснование архитектурных решений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Выбор архитектуры с обратным прокси обусловлен следующими соображениями: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Разделение ответственности: Nginx обрабатывает TLS, оставляя прикладной код приложения неизменным в части протокола транспортного уровня.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Централизованное журналирование: все обращения к системе проходят через Nginx, что обеспечивает полноту журнала событий доступа.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Масштабируемость: возможность добавления нескольких экземпляров приложения за единым прокси без изменения КЖД.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Соответствие отраслевым практикам: данная архитектура является стандартной для производственных развёртываний согласно документации NGINX Inc. (2025).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2.2  Изменения в операциях системы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2.2.1  Изменения в операции запуска системы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исходной версии запуск системы осуществлялся командой docker-compose up -d для двух сервисов (app, logger).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целевой версии процедура запуска дополняется следующими операциями: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Предварительная проверка наличия TLS-сертификата и ключа в указанном пути (проверяется скриптом entrypoint.sh контейнера Nginx).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Инициализация именованного тома для данных журналов (docker volume create logs_data), если том не существует.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Запуск трёх сервисов в порядке зависимостей: сначала app, затем nginx, затем logger (определяется директивой depends_on в docker-compose.yml).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Проверка готовности (health check): Nginx ожидает HTTP 200 от app по внутренней сети перед публикацией порта 443.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2.2.2  Изменения в операции сбора и записи журналов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версии v1.0 КЖД считывал журналы из файла /var/log/app/access.log, смонтированного через bind-mount, и записывал каждую строку в таблицу SQLite.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версии v2.0 операция сбора журналов изменяется следующим образом: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Источник журналов: файл /var/log/nginx/access.log в формате combined_ssl (расширенный Combined Log Format с добавлением полей: $ssl_protocol, $ssl_cipher, $request_time).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Механизм доставки: дополнительно поддерживается режим syslog (log_format syslog; access_log syslog:server=logger:514;) для снижения латентности доставки событий.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Формат хранения: записи дополняются полями HTTPS-специфичной информации: версия TLS-протокола (tls_version), набор шифров (cipher_suite), признак перенаправления (redirect_flag).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Периодичность ротации журналов: интегрируется logrotate с параметром daily, rotate 30, compress для управления дисковым пространством.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2.2.3  Изменения в операции обновления компонент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Операция плановых обновлений компонент приобретает следующий регламент: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Обновление базового образа КЖД (alpine:3.21): выполняется в рамках планового выпуска R-02 (Q3 2026). Предшествует сканирование образа инструментом Trivy или Grype для выявления CVE.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Ротация TLS-сертификата: автоматически через Certbot (Let's Encrypt) каждые 60 дней либо через корпоративный УЦ каждые 12 месяцев.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Обновление Nginx: при выходе новой версии LTS согласно циклу выпусков Nginx (обычно 1 раз в год); перед обновлением — тестирование конфигурации командой nginx -t в тестовом окружении.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2.2.4  Изменения в операции резервного копирования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Резервное копирование данных журналов переводится с уровня файловой системы на уровень Docker-тома: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Еженощное создание архива тома: docker run --rm -v logs_data:/data -v /backup:/backup alpine tar czf /backup/logs_$(date +%Y%m%d).tar.gz /data.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Верификация архива по контрольной сумме SHA-256.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Ротация архивов: хранение последних 30 резервных копий.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2.3  Изменения в интерфейсах системы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2.3.1  Изменения во внешнем сетевом интерфейсе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Внешний сетевой интерфейс системы — точка приёма входящих клиентских запросов — претерпевает следующие изменения (см. таблицу 2.2).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Параметр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До изменения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После изменения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Обоснование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Протокол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HTTP/1.1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HTTPS (TLS 1.2/1.3)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Требование ЗМ-001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Порт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80/TCP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443/TCP (основной), 80/TCP (redirect)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RFC 2818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Шифрование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Отсутствует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AES-256-GCM, ChaCha20-Poly1305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NIST SP 800-52r2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Сертификат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Отсутствует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X.509 v3, SAN, OCSP Stapling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CA/Browser Forum Baseline</w:t>
            </w:r>
          </w:p>
        </w:tc>
      </w:tr>
    </w:tbl>
    <w:p>
      <w:pPr>
        <w:spacing w:before="0" w:after="12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2.2 — Изменения внешнего сетевого интерфейса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2.3.2  Изменения во внутреннем интерфейсе между Nginx и КЖД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Интерфейс передачи данных журналов от Nginx к КЖД является внутренним и не доступен снаружи контейнерной сети. Изменения данного интерфейса представлены в таблице 2.3.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Характеристика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v1.0 (до)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v2.0 (после)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Механизм передачи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Файловый bind-mount (NFS-like)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Файловый volume + Syslog UDP 514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Формат записи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NCSA Common Log Format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Extended Combined + TLS fields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Поля записи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IP, дата, метод, URI, статус, размер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+ tls_version, cipher, request_time, redirect_flag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Кодировка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UTF-8, без обёртки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UTF-8, JSON (опциональный режим)</w:t>
            </w:r>
          </w:p>
        </w:tc>
      </w:tr>
    </w:tbl>
    <w:p>
      <w:pPr>
        <w:spacing w:before="0" w:after="12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2.3 — Изменения интерфейса Nginx → КЖД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2.3.3  Изменения в интерфейсе управления контейнером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Интерфейс управления КЖД (REST API и/или CLI) дополняется следующими эндпоинтами и командами: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GET /api/v1/logs?protocol=https&amp;from=ISO8601&amp;to=ISO8601 — выборка событий HTTPS-доступа за указанный период.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GET /api/v1/stats/tls — статистика по версиям TLS и наборам шифров из агрегированных журналов.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POST /api/v1/rotate — принудительная ротация файла журнала (аналог kill -USR1 для logrotate).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Все эндпоинты доступны исключительно по протоколу HTTPS и требуют аутентификации по токену (Bearer JWT). Это исключает возможность несанкционированного доступа к журналам событий доступа.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2.3.4  Изменения в интерфейсе Docker Compose (оркестрация)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Файл docker-compose.yml претерпевает следующие изменения: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Добавлен сервис nginx с монтированием TLS-сертификата, конфигурационного файла nginx.conf, а также общего тома для журналов.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Сервис logger обновлён: image изменён с access-logger:1.0 на access-logger:2.0, добавлен volume logs_data:/var/log/nginx, добавлен environment-параметр LOG_FORMAT=extended_ssl.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Добавлены разделы volumes (именованный том logs_data) и networks (internal-network с driver: bridge, internal: true).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Сервис app переведён во внутреннюю сеть, порт 80 более не публикуется наружу.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Итоговый фрагмент docker-compose.yml (ключевые изменения):</w:t>
      </w:r>
    </w:p>
    <w:p>
      <w:pPr>
        <w:spacing w:after="120" w:line="240" w:lineRule="auto"/>
        <w:ind w:firstLine="0" w:left="567"/>
      </w:pPr>
      <w:r>
        <w:rPr>
          <w:rFonts w:ascii="Courier New" w:hAnsi="Courier New"/>
          <w:sz w:val="20"/>
        </w:rPr>
        <w:t>version: '3.9'</w:t>
        <w:br/>
        <w:t>services:</w:t>
        <w:br/>
        <w:t xml:space="preserve">  nginx:</w:t>
        <w:br/>
        <w:t xml:space="preserve">    image: nginx:1.26</w:t>
        <w:br/>
        <w:t xml:space="preserve">    ports:</w:t>
        <w:br/>
        <w:t xml:space="preserve">      - "80:80"</w:t>
        <w:br/>
        <w:t xml:space="preserve">      - "443:443"</w:t>
        <w:br/>
        <w:t xml:space="preserve">    volumes:</w:t>
        <w:br/>
        <w:t xml:space="preserve">      - ./nginx/nginx.conf:/etc/nginx/nginx.conf:ro</w:t>
        <w:br/>
        <w:t xml:space="preserve">      - ./certs:/etc/nginx/certs:ro</w:t>
        <w:br/>
        <w:t xml:space="preserve">      - logs_data:/var/log/nginx</w:t>
        <w:br/>
        <w:t xml:space="preserve">    networks: [frontend, internal]</w:t>
        <w:br/>
        <w:t xml:space="preserve">    depends_on: [app]</w:t>
        <w:br/>
        <w:t xml:space="preserve">  app:</w:t>
        <w:br/>
        <w:t xml:space="preserve">    build: ./app</w:t>
        <w:br/>
        <w:t xml:space="preserve">    networks: [internal]</w:t>
        <w:br/>
        <w:t xml:space="preserve">  logger:</w:t>
        <w:br/>
        <w:t xml:space="preserve">    image: access-logger:2.0</w:t>
        <w:br/>
        <w:t xml:space="preserve">    volumes:</w:t>
        <w:br/>
        <w:t xml:space="preserve">      - logs_data:/var/log/nginx:ro</w:t>
        <w:br/>
        <w:t xml:space="preserve">    environment:</w:t>
        <w:br/>
        <w:t xml:space="preserve">      - LOG_FORMAT=extended_ssl</w:t>
        <w:br/>
        <w:t xml:space="preserve">    networks: [internal]</w:t>
        <w:br/>
        <w:t>volumes:</w:t>
        <w:br/>
        <w:t xml:space="preserve">  logs_data:</w:t>
        <w:br/>
        <w:t>networks:</w:t>
        <w:br/>
        <w:t xml:space="preserve">  frontend:</w:t>
        <w:br/>
        <w:t xml:space="preserve">  internal:</w:t>
        <w:br/>
        <w:t xml:space="preserve">    internal: true</w:t>
      </w:r>
    </w:p>
    <w:p>
      <w:r>
        <w:br w:type="page"/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ЗАКЛЮЧЕНИЕ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результате выполнения лабораторной работы разработаны два основных документа в соответствии с требованиями ГОСТ Р ИСО/МЭК 12207–2010: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Стратегия сопровождения для управления модификацией и перемещением программных продуктов (раздел 1), охватывающая идентификацию объектов сопровождения, план выпусков, регламент модификации приложения (HTTP → HTTPS), порядок перемещения контейнера, требования к конфигурационному управлению, а также критерии верификации и валидации изменений.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Описание конкретных изменений в архитектуре, операциях и интерфейсах системы (раздел 2), применительно к контейнеру журналирования событий доступа.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Предложенная стратегия обеспечивает: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выполнение требования ЗМ-001 — перевод всех веб-сайтов Компании 1 на HTTPS;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сохранение целостности журналов событий доступа в период перемещения контейнера;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актуализацию компонентного состава системы согласно данным вендоров за 2025 год;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соответствие принципам безопасной разработки: минимальная поверхность атаки, разделение ответственности, воспроизводимость сборок.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Документ разработан в соответствии со структурными требованиями ГОСТ Р ИСО/МЭК 12207–2010, в частности разделами 6.4.7 (процесс сопровождения) и 6.2.2 (управление конфигурацией).</w:t>
      </w:r>
    </w:p>
    <w:p>
      <w:r>
        <w:br w:type="page"/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СПИСОК ИСПОЛЬЗОВАННЫХ ИСТОЧНИКОВ</w:t>
      </w:r>
    </w:p>
    <w:p>
      <w:pPr>
        <w:spacing w:after="80" w:line="360" w:lineRule="auto"/>
        <w:ind w:firstLine="0" w:left="709"/>
      </w:pPr>
      <w:r>
        <w:rPr>
          <w:rFonts w:ascii="Times New Roman" w:hAnsi="Times New Roman"/>
          <w:sz w:val="28"/>
        </w:rPr>
        <w:t>1.</w:t>
        <w:tab/>
        <w:t>ГОСТ Р ИСО/МЭК 12207–2010. Информационная технология. Системная и программная инженерия. Процессы жизненного цикла программных средств. — М.: Стандартинформ, 2011. — 104 с.</w:t>
      </w:r>
    </w:p>
    <w:p>
      <w:pPr>
        <w:spacing w:after="80" w:line="360" w:lineRule="auto"/>
        <w:ind w:firstLine="0" w:left="709"/>
      </w:pPr>
      <w:r>
        <w:rPr>
          <w:rFonts w:ascii="Times New Roman" w:hAnsi="Times New Roman"/>
          <w:sz w:val="28"/>
        </w:rPr>
        <w:t>2.</w:t>
        <w:tab/>
        <w:t>NIST SP 800-52 Rev. 2. Guidelines for the Selection, Configuration, and Use of Transport Layer Security (TLS) Implementations. — NIST, 2019.</w:t>
      </w:r>
    </w:p>
    <w:p>
      <w:pPr>
        <w:spacing w:after="80" w:line="360" w:lineRule="auto"/>
        <w:ind w:firstLine="0" w:left="709"/>
      </w:pPr>
      <w:r>
        <w:rPr>
          <w:rFonts w:ascii="Times New Roman" w:hAnsi="Times New Roman"/>
          <w:sz w:val="28"/>
        </w:rPr>
        <w:t>3.</w:t>
        <w:tab/>
        <w:t>Nginx Inc. NGINX 1.26 LTS Release Notes [Электронный ресурс]. — URL: https://nginx.org/en/CHANGES (дата обращения: 01.05.2026).</w:t>
      </w:r>
    </w:p>
    <w:p>
      <w:pPr>
        <w:spacing w:after="80" w:line="360" w:lineRule="auto"/>
        <w:ind w:firstLine="0" w:left="709"/>
      </w:pPr>
      <w:r>
        <w:rPr>
          <w:rFonts w:ascii="Times New Roman" w:hAnsi="Times New Roman"/>
          <w:sz w:val="28"/>
        </w:rPr>
        <w:t>4.</w:t>
        <w:tab/>
        <w:t>Alpine Linux. Release schedule [Электронный ресурс]. — URL: https://alpinelinux.org/releases/ (дата обращения: 01.05.2026).</w:t>
      </w:r>
    </w:p>
    <w:p>
      <w:pPr>
        <w:spacing w:after="80" w:line="360" w:lineRule="auto"/>
        <w:ind w:firstLine="0" w:left="709"/>
      </w:pPr>
      <w:r>
        <w:rPr>
          <w:rFonts w:ascii="Times New Roman" w:hAnsi="Times New Roman"/>
          <w:sz w:val="28"/>
        </w:rPr>
        <w:t>5.</w:t>
        <w:tab/>
        <w:t>Docker, Inc. Docker Compose File Reference v3.9 [Электронный ресурс]. — URL: https://docs.docker.com/compose/compose-file/ (дата обращения: 01.05.2026).</w:t>
      </w:r>
    </w:p>
    <w:p>
      <w:pPr>
        <w:spacing w:after="80" w:line="360" w:lineRule="auto"/>
        <w:ind w:firstLine="0" w:left="709"/>
      </w:pPr>
      <w:r>
        <w:rPr>
          <w:rFonts w:ascii="Times New Roman" w:hAnsi="Times New Roman"/>
          <w:sz w:val="28"/>
        </w:rPr>
        <w:t>6.</w:t>
        <w:tab/>
        <w:t>Let's Encrypt. Certificate Lifecycle and Renewal [Электронный ресурс]. — URL: https://letsencrypt.org/docs/ (дата обращения: 01.05.2026).</w:t>
      </w:r>
    </w:p>
    <w:p>
      <w:pPr>
        <w:spacing w:after="80" w:line="360" w:lineRule="auto"/>
        <w:ind w:firstLine="0" w:left="709"/>
      </w:pPr>
      <w:r>
        <w:rPr>
          <w:rFonts w:ascii="Times New Roman" w:hAnsi="Times New Roman"/>
          <w:sz w:val="28"/>
        </w:rPr>
        <w:t>7.</w:t>
        <w:tab/>
        <w:t>CA/Browser Forum. Baseline Requirements for the Issuance and Management of Publicly-Trusted Certificates, v2.0.7. — 2024.</w:t>
      </w:r>
    </w:p>
    <w:p>
      <w:pPr>
        <w:spacing w:after="80" w:line="360" w:lineRule="auto"/>
        <w:ind w:firstLine="0" w:left="709"/>
      </w:pPr>
      <w:r>
        <w:rPr>
          <w:rFonts w:ascii="Times New Roman" w:hAnsi="Times New Roman"/>
          <w:sz w:val="28"/>
        </w:rPr>
        <w:t>8.</w:t>
        <w:tab/>
        <w:t>CNCF. Annual Survey 2025 [Электронный ресурс]. — URL: https://www.cncf.io/reports/cncf-annual-survey-2025/ (дата обращения: 01.05.2026).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