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6D5C8" w14:textId="77777777" w:rsidR="006F23EA" w:rsidRDefault="006F23EA">
      <w:pPr>
        <w:spacing w:after="2400"/>
      </w:pPr>
    </w:p>
    <w:p w14:paraId="0E8432C0" w14:textId="77777777" w:rsidR="006F23EA" w:rsidRDefault="00895B90">
      <w:pPr>
        <w:jc w:val="center"/>
      </w:pPr>
      <w:r>
        <w:rPr>
          <w:b/>
          <w:bCs/>
          <w:sz w:val="24"/>
          <w:szCs w:val="24"/>
        </w:rPr>
        <w:t>НАЦІОНАЛЬНИЙ ТЕХНІЧНИЙ УНІВЕРСИТЕТ УКРАЇНИ</w:t>
      </w:r>
    </w:p>
    <w:p w14:paraId="009BA21B" w14:textId="77777777" w:rsidR="006F23EA" w:rsidRDefault="00895B90">
      <w:pPr>
        <w:spacing w:after="400"/>
        <w:jc w:val="center"/>
      </w:pPr>
      <w:r>
        <w:rPr>
          <w:b/>
          <w:bCs/>
          <w:sz w:val="24"/>
          <w:szCs w:val="24"/>
        </w:rPr>
        <w:t>«КИЇВСЬКИЙ ПОЛІТЕХНІЧНИЙ ІНСТИТУТ ІМЕНІ ІГОРЯ СІКОРСЬКОГО»</w:t>
      </w:r>
    </w:p>
    <w:p w14:paraId="6DA69BAE" w14:textId="77777777" w:rsidR="006F23EA" w:rsidRDefault="00895B90">
      <w:pPr>
        <w:spacing w:after="200"/>
        <w:jc w:val="center"/>
      </w:pPr>
      <w:r>
        <w:rPr>
          <w:sz w:val="22"/>
          <w:szCs w:val="22"/>
        </w:rPr>
        <w:t>Навчально-науковий інститут прикладного системного аналізу</w:t>
      </w:r>
    </w:p>
    <w:p w14:paraId="2BAF530E" w14:textId="77777777" w:rsidR="006F23EA" w:rsidRDefault="00895B90">
      <w:pPr>
        <w:spacing w:after="1000"/>
        <w:jc w:val="center"/>
      </w:pPr>
      <w:r>
        <w:rPr>
          <w:sz w:val="22"/>
          <w:szCs w:val="22"/>
        </w:rPr>
        <w:t>Спеціальність «Системний аналіз», група КА-33</w:t>
      </w:r>
    </w:p>
    <w:p w14:paraId="0012143C" w14:textId="77777777" w:rsidR="006F23EA" w:rsidRDefault="00895B90">
      <w:pPr>
        <w:spacing w:after="200"/>
        <w:jc w:val="center"/>
      </w:pPr>
      <w:r>
        <w:rPr>
          <w:b/>
          <w:bCs/>
          <w:sz w:val="26"/>
          <w:szCs w:val="26"/>
        </w:rPr>
        <w:t>КОМПЛЕКСНЕ ТРЕНІНГОВЕ ЗАВДАННЯ №1</w:t>
      </w:r>
    </w:p>
    <w:p w14:paraId="509EF499" w14:textId="77777777" w:rsidR="006F23EA" w:rsidRDefault="00895B90">
      <w:pPr>
        <w:spacing w:after="200"/>
        <w:jc w:val="center"/>
      </w:pPr>
      <w:r>
        <w:rPr>
          <w:b/>
          <w:bCs/>
          <w:sz w:val="26"/>
          <w:szCs w:val="26"/>
        </w:rPr>
        <w:t>«ХАРАКТЕРИСТИКА ЦІЛЬОВОГО РИНКУ, ЩО МОДЕЛЮЄТЬСЯ»</w:t>
      </w:r>
    </w:p>
    <w:p w14:paraId="7D1A7143" w14:textId="77777777" w:rsidR="006F23EA" w:rsidRDefault="00895B90">
      <w:pPr>
        <w:spacing w:after="200"/>
        <w:jc w:val="center"/>
      </w:pPr>
      <w:r>
        <w:rPr>
          <w:i/>
          <w:iCs/>
          <w:sz w:val="24"/>
          <w:szCs w:val="24"/>
        </w:rPr>
        <w:t>з дисципліни «ЕКОНОМІКА ТА ОРГАНІЗАЦІЯ ВИРОБНИЦТВА»</w:t>
      </w:r>
    </w:p>
    <w:p w14:paraId="7A782374" w14:textId="77777777" w:rsidR="006F23EA" w:rsidRDefault="00895B90">
      <w:pPr>
        <w:spacing w:after="200"/>
        <w:jc w:val="center"/>
      </w:pPr>
      <w:r>
        <w:rPr>
          <w:b/>
          <w:bCs/>
          <w:sz w:val="24"/>
          <w:szCs w:val="24"/>
        </w:rPr>
        <w:t>Модельоване підприємство: ПрАТ «ОБОЛОНЬ»</w:t>
      </w:r>
    </w:p>
    <w:p w14:paraId="6DF50CC1" w14:textId="77777777" w:rsidR="006F23EA" w:rsidRDefault="00895B90">
      <w:pPr>
        <w:spacing w:after="1600"/>
        <w:jc w:val="center"/>
      </w:pPr>
      <w:r>
        <w:rPr>
          <w:sz w:val="22"/>
          <w:szCs w:val="22"/>
        </w:rPr>
        <w:t>Галузь: виробництво пива, безалкогольних, слабоалкогольних напоїв та мінеральної води</w:t>
      </w:r>
    </w:p>
    <w:p w14:paraId="6CF72C71" w14:textId="77777777" w:rsidR="006F23EA" w:rsidRDefault="00895B90">
      <w:pPr>
        <w:spacing w:after="100"/>
        <w:jc w:val="right"/>
      </w:pPr>
      <w:r>
        <w:rPr>
          <w:sz w:val="22"/>
          <w:szCs w:val="22"/>
        </w:rPr>
        <w:t>Виконав: студент групи КА-33</w:t>
      </w:r>
    </w:p>
    <w:p w14:paraId="6170CD48" w14:textId="7E7C8153" w:rsidR="006F23EA" w:rsidRPr="00895B90" w:rsidRDefault="00895B90" w:rsidP="00895B90">
      <w:pPr>
        <w:spacing w:after="1600"/>
        <w:jc w:val="right"/>
        <w:rPr>
          <w:sz w:val="22"/>
          <w:szCs w:val="22"/>
          <w:lang w:val="uk-UA"/>
        </w:rPr>
      </w:pPr>
      <w:r>
        <w:rPr>
          <w:sz w:val="22"/>
          <w:szCs w:val="22"/>
        </w:rPr>
        <w:t>Слюсар Олександр</w:t>
      </w:r>
    </w:p>
    <w:p w14:paraId="433338DE" w14:textId="77777777" w:rsidR="00895B90" w:rsidRPr="00895B90" w:rsidRDefault="00895B90" w:rsidP="00895B90">
      <w:pPr>
        <w:spacing w:after="1600"/>
        <w:jc w:val="right"/>
        <w:rPr>
          <w:sz w:val="22"/>
          <w:szCs w:val="22"/>
        </w:rPr>
      </w:pPr>
    </w:p>
    <w:p w14:paraId="1A3C81E7" w14:textId="77777777" w:rsidR="00895B90" w:rsidRDefault="00895B90">
      <w:pPr>
        <w:jc w:val="center"/>
        <w:rPr>
          <w:sz w:val="22"/>
          <w:szCs w:val="22"/>
        </w:rPr>
      </w:pPr>
    </w:p>
    <w:p w14:paraId="138A1B0B" w14:textId="77777777" w:rsidR="00895B90" w:rsidRDefault="00895B90">
      <w:pPr>
        <w:jc w:val="center"/>
        <w:rPr>
          <w:sz w:val="22"/>
          <w:szCs w:val="22"/>
        </w:rPr>
      </w:pPr>
    </w:p>
    <w:p w14:paraId="31A8AB84" w14:textId="3A7F93A0" w:rsidR="006F23EA" w:rsidRDefault="00895B90" w:rsidP="00895B90">
      <w:pPr>
        <w:jc w:val="center"/>
      </w:pPr>
      <w:r>
        <w:rPr>
          <w:sz w:val="22"/>
          <w:szCs w:val="22"/>
        </w:rPr>
        <w:t>Київ — 2026</w:t>
      </w:r>
    </w:p>
    <w:p w14:paraId="2EC8B4A8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lastRenderedPageBreak/>
        <w:t>1. Мета і завдання тренінгового завдання</w:t>
      </w:r>
    </w:p>
    <w:p w14:paraId="64C7525E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Метою тренінгового завдання є характеристика цільового ринку, на який модельоване підприємство ПрАТ «Оболонь» вже здійснює вихід і на якому продовжує функціонувати, — ринку пива, безалкогольних, слабоалкогольних напоїв та мінеральної води України, а також оцінка впливу факторів зовнішнього бізнес-середовища на діяльність підприємства галузі.</w:t>
      </w:r>
    </w:p>
    <w:p w14:paraId="4DAFC8F9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Відповідно до методичних рекомендацій, у роботі послідовно вирішено такі завдання: надано характеристику цільового ринку; проаналізовано стан підприємств, що функціонують на ринку; вивчено асортимент і обсяги виробництва продукції; досліджено стан попиту; проаналізовано ринки сировини і матеріалів, техніки й технологій, фінансових та трудових ресурсів; зроблено загальний висновок щодо впливу зовнішнього середовища та визначено перспективи розвитку галузі.</w:t>
      </w:r>
    </w:p>
    <w:p w14:paraId="6BBDD6B7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Джерела інформації: аудійована консолідована фінансова звітність ПрАТ «Оболонь» за 2024 рік (з порівняльними даними за 2023 рік) та за 2025 рік (аудитор — RSM Україна), дані галузевої асоціації «Укрпиво», Державної служби статистики України, Національного банку України, Європейської Бізнес Асоціації та відкритих галузевих видань (перелік — у списку джерел наприкінці документа).</w:t>
      </w:r>
    </w:p>
    <w:p w14:paraId="6CE317A6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2. Загальна характеристика підприємства</w:t>
      </w:r>
    </w:p>
    <w:p w14:paraId="5F0F2E2B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ПрАТ «Оболонь» (засноване 1980 р., приватизоване та зареєстроване як закрите акціонерне товариство 29 червня 1993 р.) — один із найбільших українських виробників пива, слабоалкогольних, безалкогольних напоїв, мінеральної води та солоду, повністю з українським капіталом. Юридична адреса: м. Київ, вул. Богатирська, 3.</w:t>
      </w:r>
    </w:p>
    <w:p w14:paraId="646B12FE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До складу Групи «Оболонь» станом на 31.12.2025 входять дочірні підприємства в Україні (ДП «Пивоварня Зіберта», ДП ПрАТ «Оболонь-Красилівське», ТОВ «ФК Оболонь», ПрАТ «Бершадський комбінат», ПрАТ «Охтирський пивзавод», ПрАТ «Дятьківський пивзавод»), а також підприємства в Молдові (СП ТОВ «Оболонь-Аурелія», Obolon Beverages S.R.L.) та Польщі (Obolon West Sp. z o.o.), що свідчить про орієнтацію компанії не лише на внутрішній, а й на експортні ринки.</w:t>
      </w:r>
    </w:p>
    <w:p w14:paraId="7AC47F46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Ключові фінансові показники Групи за консолідованою звітністю (МСФЗ), 2023–2025 рр.: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6"/>
        <w:gridCol w:w="2078"/>
        <w:gridCol w:w="2078"/>
        <w:gridCol w:w="2078"/>
      </w:tblGrid>
      <w:tr w:rsidR="006F23EA" w14:paraId="3A08011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39AF0" w14:textId="77777777" w:rsidR="006F23EA" w:rsidRDefault="00895B9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Показник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BC26E" w14:textId="77777777" w:rsidR="006F23EA" w:rsidRDefault="00895B9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2023 рік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EB640" w14:textId="77777777" w:rsidR="006F23EA" w:rsidRDefault="00895B9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2024 рік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2893E" w14:textId="77777777" w:rsidR="006F23EA" w:rsidRDefault="00895B9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2025 рік</w:t>
            </w:r>
          </w:p>
        </w:tc>
      </w:tr>
      <w:tr w:rsidR="006F23EA" w14:paraId="46E6257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F9D76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Чистий дохід від реалізації,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88F3C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10 959 867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BC2B1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13 060 516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8EE98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14 052 429</w:t>
            </w:r>
          </w:p>
        </w:tc>
      </w:tr>
      <w:tr w:rsidR="006F23EA" w14:paraId="47D3574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7535F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Валовий прибуток,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60588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3 804 017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F7B8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3 750 889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201FE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3 806 920</w:t>
            </w:r>
          </w:p>
        </w:tc>
      </w:tr>
      <w:tr w:rsidR="006F23EA" w14:paraId="4D2C8A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8D947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Фінансовий результат від операційної діяльності,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42406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2 268 325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6F2F8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1 768 723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3C015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1 499 305</w:t>
            </w:r>
          </w:p>
        </w:tc>
      </w:tr>
      <w:tr w:rsidR="006F23EA" w14:paraId="6659F5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FAB71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Чистий прибуток,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0DD2C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1 886 330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1D9FF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1 514 861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CC99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1 331 555</w:t>
            </w:r>
          </w:p>
        </w:tc>
      </w:tr>
      <w:tr w:rsidR="006F23EA" w14:paraId="7BA95DE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C77F7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Активи (Баланс),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303AA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8 570 758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06ECB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10 350 248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73A04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11 973 677</w:t>
            </w:r>
          </w:p>
        </w:tc>
      </w:tr>
      <w:tr w:rsidR="006F23EA" w14:paraId="30DC751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363F2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Власний капітал, тис.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E1859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6 580 186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8FB94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8 096 153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8302A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9 430 323</w:t>
            </w:r>
          </w:p>
        </w:tc>
      </w:tr>
      <w:tr w:rsidR="006F23EA" w14:paraId="047CC0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548FB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Коефіцієнт частки позикових коштів, %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D7330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8E682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FDC8C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6F23EA" w14:paraId="4BD5B77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265BC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Чистий прибуток на 1 просту акцію, грн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5B14B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5,8018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F557A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4,6593</w:t>
            </w:r>
          </w:p>
        </w:tc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EEAE1" w14:textId="77777777" w:rsidR="006F23EA" w:rsidRDefault="00895B90">
            <w:pPr>
              <w:jc w:val="center"/>
            </w:pPr>
            <w:r>
              <w:rPr>
                <w:sz w:val="18"/>
                <w:szCs w:val="18"/>
              </w:rPr>
              <w:t>4,0955</w:t>
            </w:r>
          </w:p>
        </w:tc>
      </w:tr>
    </w:tbl>
    <w:p w14:paraId="60EC56E0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Консолідована фінансова звітність ПрАТ «Оболонь» згідно МСФЗ за 2024 рік (порівняльні дані за 2023 р., Примітки 1, 17, 28) та за 2025 рік; звіти незалежного аудитора RSM Україна.</w:t>
      </w:r>
    </w:p>
    <w:p w14:paraId="65CDB8DF" w14:textId="77777777" w:rsidR="006F23EA" w:rsidRDefault="00895B9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6467485" wp14:editId="17F0E4AA">
            <wp:extent cx="4476750" cy="268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39A0" w14:textId="77777777" w:rsidR="006F23EA" w:rsidRDefault="00895B9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Рис. 1. Динаміка чистого доходу і чистого прибутку Групи «Оболонь», млн грн, 2023–2025 рр.</w:t>
      </w:r>
    </w:p>
    <w:p w14:paraId="74C17734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Динаміка 2023–2025 рр. показує чітку тенденцію: чистий дохід Групи стабільно зростає (+19,2% за три роки), тоді як прибутковість поступово нормалізується після аномально високого 2023 року — валовий прибуток і особливо операційний прибуток та чистий прибуток знижуються (чистий прибуток: 1,89 млрд грн у 2023 р. → 1,51 млрд грн у 2024 р. → 1,33 млрд грн у 2025 р.), що пояснюється випереджальним зростанням собівартості (сировина, логістика, комунальні послуги, оплата праці) порівняно з темпами зростання виторг</w:t>
      </w:r>
      <w:r>
        <w:rPr>
          <w:sz w:val="22"/>
          <w:szCs w:val="22"/>
        </w:rPr>
        <w:t>у. Водночас боргове навантаження Групи послідовно й суттєво знижується — з 12% у 2023 р. до лише 3% у 2025 р., що свідчить про зміцнення фінансової незалежності компанії навіть в умовах зниження прибутковості.</w:t>
      </w:r>
    </w:p>
    <w:p w14:paraId="3D06FC0E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Важливо зазначити, що незалежний аудитор (RSM Україна) висловив думку із застереженням щодо оцінки основних засобів (переоцінка 2016 р.) та звернув увагу на суттєву невизначеність щодо безперервності діяльності Групи, пов'язану з ризиками продовження повномасштабної війни в Україні — це є одним із ключових факторів зовнішнього середовища, що враховано в подальшому аналізі.</w:t>
      </w:r>
    </w:p>
    <w:p w14:paraId="500069CB" w14:textId="77777777" w:rsidR="006F23EA" w:rsidRDefault="00895B90">
      <w:pPr>
        <w:spacing w:after="160" w:line="276" w:lineRule="auto"/>
        <w:jc w:val="both"/>
      </w:pPr>
      <w:r>
        <w:rPr>
          <w:i/>
          <w:iCs/>
        </w:rPr>
        <w:t>Довідково: наведені вище показники стосуються консолідованої звітності Групи «Оболонь» у цілому. Окрема (неконсолідована) звітність материнської компанії ПрАТ «Оболонь» демонструє іншу картину: у 2023 р. її виторг становив 10,8 млрд грн, а у 2024 р. — лише 12,87 млн грн, оскільки з 2024 року операційна («торгова») діяльність материнської компанії була передана дочірнім структурам Групи. Це суто внутрішня реструктуризація, яка не впливає на консолідовані показники Групи, наведені вище, і не свідчить про згор</w:t>
      </w:r>
      <w:r>
        <w:rPr>
          <w:i/>
          <w:iCs/>
        </w:rPr>
        <w:t>тання бізнесу.</w:t>
      </w:r>
    </w:p>
    <w:p w14:paraId="3AE7803D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За даними консолідованого звіту про управління Групи, клієнтська база компанії добре диверсифікована: близько 32% клієнтів Групи є бізнес-клієнтами (HoReCa, гуртова торгівля), Група не залежить від вузького кола покупців чи окремої галузі.</w:t>
      </w:r>
    </w:p>
    <w:p w14:paraId="5E2F88CA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3. Характеристика цільового ринку</w:t>
      </w:r>
    </w:p>
    <w:p w14:paraId="609F850C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 xml:space="preserve">Цільовий ринок ПрАТ «Оболонь» — ринок слабоалкогольних та безалкогольних напоїв України, що включає чотири основні товарні сегменти: пиво, безалкогольні напої (лимонади, енергетики, соки), слабоалкогольні напої (сидри, коктейлі) та мінеральну/питну воду. Ринок є висококонцентрованим і зрілим, з обмеженим потенціалом екстенсивного зростання на </w:t>
      </w:r>
      <w:r>
        <w:rPr>
          <w:sz w:val="22"/>
          <w:szCs w:val="22"/>
        </w:rPr>
        <w:lastRenderedPageBreak/>
        <w:t>внутрішньому напрямку, але зі значним резервом відновлення до довоєнного рівня та потенціалом нарощування експорту.</w:t>
      </w:r>
    </w:p>
    <w:p w14:paraId="62C00B21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Особливості поточної кон'юнктури ринку (2024–2025 рр.):</w:t>
      </w:r>
    </w:p>
    <w:p w14:paraId="7C77CECC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Обсяг виробництва пива в Україні за 2025 рік становив 134,3 млн дал, що на 4,7% менше показника 2024 року (140,0 млн дал) і лише 79,1% від довоєнного рівня 2021 року.</w:t>
      </w:r>
    </w:p>
    <w:p w14:paraId="1B4551D6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У 2024 році, навпаки, спостерігалось відновлення — виробництво зросло на 4,8% пор. із 2023 роком (133,6 млн дал за оцінкою).</w:t>
      </w:r>
    </w:p>
    <w:p w14:paraId="4D613D9B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Загальне промислове виробництво харчових продуктів, напоїв і тютюнових виробів в Україні зросло на 6,2% у 2024 р., що перевищує середній показник промисловості (+3,6%).</w:t>
      </w:r>
    </w:p>
    <w:p w14:paraId="26854C5C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Ринок консолідований: понад 80% ринку пива утримують чотири гравці — Carlsberg Ukraine, ПрАТ «Оболонь», AB InBev Efes Україна та Перша приватна броварня; решту займають регіональні та крафтові виробники (частка крафту — близько 2%).</w:t>
      </w:r>
    </w:p>
    <w:p w14:paraId="62CF3239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У 2022–2023 рр. частка трьох лідерів (Оболонь, Carlsberg, AB InBev Efes) тимчасово скоротилась із 80% до 67% через перерозподіл на користь малих регіональних пивоварень, які швидше відновили локальне виробництво на початку вторгнення; у 2024–2025 рр. частка великої четвірки знову зросла і перевищує 80%.</w:t>
      </w:r>
    </w:p>
    <w:p w14:paraId="41C69584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«Укрпиво» (ukrpivo.com, техdrinks.info, ain.ua); NV Бізнес (biz.nv.ua); LIGA.net (biz.liga.net); Interfax-Україна.</w:t>
      </w:r>
    </w:p>
    <w:p w14:paraId="7A62B680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Прогнозна місткість цільового ринку: за оцінками галузевих експертів (Carlsberg Ukraine), потенціал зростання ринку залишається значним, оскільки з 2007 р. виробництво пива в Україні скоротилося більш ніж удвічі (з 316 до 133–140 млн дал), а наявні виробничі потужності дозволяють нарощувати випуск без суттєвих капітальних інвестицій за умови відновлення попиту та стабілізації безпекової ситуації.</w:t>
      </w:r>
    </w:p>
    <w:p w14:paraId="38004CA1" w14:textId="77777777" w:rsidR="006F23EA" w:rsidRDefault="00895B90">
      <w:pPr>
        <w:pStyle w:val="2"/>
        <w:spacing w:before="240" w:after="160"/>
      </w:pPr>
      <w:r>
        <w:rPr>
          <w:b/>
          <w:bCs/>
          <w:sz w:val="24"/>
          <w:szCs w:val="24"/>
        </w:rPr>
        <w:t>Таблиця 1.1. Аналіз динаміки обсягів реалізації основних видів продукції ПрАТ «Оболонь» за 2023–2025 рр., у фізичних обсягах</w:t>
      </w:r>
    </w:p>
    <w:p w14:paraId="7E888757" w14:textId="77777777" w:rsidR="006F23EA" w:rsidRDefault="00895B90">
      <w:pPr>
        <w:spacing w:after="160" w:line="276" w:lineRule="auto"/>
        <w:jc w:val="both"/>
      </w:pPr>
      <w:r>
        <w:rPr>
          <w:i/>
          <w:iCs/>
          <w:sz w:val="18"/>
          <w:szCs w:val="18"/>
        </w:rPr>
        <w:t>Методика розрахунку: ПрАТ «Оболонь» не розкриває фізичні обсяги виробництва (дал, літри) за товарними категоріями у публічній звітності — лише чистий дохід від реалізації (тис. грн, Примітка 17). Для переведення доходу у фізичні обсяги застосовано середні ціни виробників на відповідні напої в Україні: для пива та мінеральної води використано офіційні дані Держстату про середні ціни виробників (пиво — 30,3 грн/л, мінеральна негазована вода — 7,25 грн/л, станом на липень 2024 р.), екстрапольовані на 2023 і 20</w:t>
      </w:r>
      <w:r>
        <w:rPr>
          <w:i/>
          <w:iCs/>
          <w:sz w:val="18"/>
          <w:szCs w:val="18"/>
        </w:rPr>
        <w:t>25 рр. за допомогою офіційного індексу споживчих цін (5,1% у 2023 р., 12,0% у 2024 р., 8,0% у 2025 р.). Для безалкогольних і слабоалкогольних напоїв, для яких окремі офіційні цінові бенчмарки відсутні, застосовано обґрунтовані коефіцієнти співвідношення цін (безалкогольні напої ≈ 1,8× ціни мінеральної води; слабоалкогольні напої ≈ 1,15× ціни пива, з урахуванням вищого акцизного навантаження). Отримані обсяги є оцінними (розрахунковими) і призначені для ілюстрації фізичної динаміки, а не точним обліковим пок</w:t>
      </w:r>
      <w:r>
        <w:rPr>
          <w:i/>
          <w:iCs/>
          <w:sz w:val="18"/>
          <w:szCs w:val="18"/>
        </w:rPr>
        <w:t>азником.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6"/>
        <w:gridCol w:w="960"/>
        <w:gridCol w:w="960"/>
        <w:gridCol w:w="960"/>
        <w:gridCol w:w="1155"/>
        <w:gridCol w:w="1155"/>
        <w:gridCol w:w="1087"/>
        <w:gridCol w:w="1087"/>
      </w:tblGrid>
      <w:tr w:rsidR="006F23EA" w14:paraId="0B1AF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D000D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Основні види продукції</w:t>
            </w:r>
          </w:p>
        </w:tc>
        <w:tc>
          <w:tcPr>
            <w:tcW w:w="108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7DED9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2023, тис. дал</w:t>
            </w:r>
          </w:p>
        </w:tc>
        <w:tc>
          <w:tcPr>
            <w:tcW w:w="108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CE26E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2024, тис. дал</w:t>
            </w:r>
          </w:p>
        </w:tc>
        <w:tc>
          <w:tcPr>
            <w:tcW w:w="108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76742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2025, тис. дал</w:t>
            </w:r>
          </w:p>
        </w:tc>
        <w:tc>
          <w:tcPr>
            <w:tcW w:w="122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12BE3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Відхилення 2025/2023, +/-</w:t>
            </w:r>
          </w:p>
        </w:tc>
        <w:tc>
          <w:tcPr>
            <w:tcW w:w="122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D864B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Відхилення 2025/2024, +/-</w:t>
            </w:r>
          </w:p>
        </w:tc>
        <w:tc>
          <w:tcPr>
            <w:tcW w:w="116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5DB7C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Темп зміни 2025/2023, %</w:t>
            </w:r>
          </w:p>
        </w:tc>
        <w:tc>
          <w:tcPr>
            <w:tcW w:w="116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22826" w14:textId="77777777" w:rsidR="006F23EA" w:rsidRDefault="00895B9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Темп зміни 2025/2024, %</w:t>
            </w:r>
          </w:p>
        </w:tc>
      </w:tr>
      <w:tr w:rsidR="006F23EA" w14:paraId="1646C9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6A550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Пиво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0A54A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21 649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1B657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20 409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CF2C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19 665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9DD6E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-1 984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0C6CF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-744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7EB15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90,8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27672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96,4</w:t>
            </w:r>
          </w:p>
        </w:tc>
      </w:tr>
      <w:tr w:rsidR="006F23EA" w14:paraId="2A5300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E8DFA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Мінеральна вода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97EB9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14 101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F3CF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19 121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0388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19 682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E364D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5 581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5DCCD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561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45A1F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139,6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2333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102,9</w:t>
            </w:r>
          </w:p>
        </w:tc>
      </w:tr>
      <w:tr w:rsidR="006F23EA" w14:paraId="3892D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6E13A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Безалкогольні напої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B46C9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12 730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7694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13 325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DD375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13 161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5F81D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431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C246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-164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CB81E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103,4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01BAF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98,8</w:t>
            </w:r>
          </w:p>
        </w:tc>
      </w:tr>
      <w:tr w:rsidR="006F23EA" w14:paraId="71170C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F1EFD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Слабоалкогольні напої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4CE51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3 504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BBD63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4 470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D4F22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4 336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1D932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832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600CC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-134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95D56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123,7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E942B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97,0</w:t>
            </w:r>
          </w:p>
        </w:tc>
      </w:tr>
      <w:tr w:rsidR="006F23EA" w14:paraId="4BDB42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A17CF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Разом (4 фізичні категорії), тис. дал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02835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51 984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34215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57 325</w:t>
            </w:r>
          </w:p>
        </w:tc>
        <w:tc>
          <w:tcPr>
            <w:tcW w:w="1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B0EC0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56 844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19D8A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4 860</w:t>
            </w:r>
          </w:p>
        </w:tc>
        <w:tc>
          <w:tcPr>
            <w:tcW w:w="12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57D0B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-481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AD487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109,4</w:t>
            </w:r>
          </w:p>
        </w:tc>
        <w:tc>
          <w:tcPr>
            <w:tcW w:w="1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82E77" w14:textId="77777777" w:rsidR="006F23EA" w:rsidRDefault="00895B90">
            <w:pPr>
              <w:jc w:val="center"/>
            </w:pPr>
            <w:r>
              <w:rPr>
                <w:sz w:val="14"/>
                <w:szCs w:val="14"/>
              </w:rPr>
              <w:t>99,2</w:t>
            </w:r>
          </w:p>
        </w:tc>
      </w:tr>
    </w:tbl>
    <w:p w14:paraId="3596F0B4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Довідково: послуги з доставки та «інша реалізація» (сукупно 3 054 391 тис. грн у 2025 р.) є послугами/супутньою реалізацією, а не фізичними товарами, тому не включені до розрахунку фізичних обсягів.</w:t>
      </w:r>
    </w:p>
    <w:p w14:paraId="7A9CEC4C" w14:textId="77777777" w:rsidR="006F23EA" w:rsidRDefault="00895B9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F811924" wp14:editId="66AE2336">
            <wp:extent cx="44767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27AD" w14:textId="77777777" w:rsidR="006F23EA" w:rsidRDefault="00895B9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Рис. 2. Оцінні фізичні обсяги реалізації продукції ПрАТ «Оболонь» за категоріями, тис. дал, 2023–2025 рр.</w:t>
      </w:r>
    </w:p>
    <w:p w14:paraId="465912A8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Висновок за таблицею: у фізичному вимірі динаміка суттєво відрізняється від динаміки в грошовому вираженні. Обсяги реалізації пива в натуральному вираженні скорочуються протягом усього періоду (-9,2% за три роки) — тобто зростання виторгу від пива (+9,9% у грошовому вимірі) забезпечується виключно підвищенням цін, а не фізичних обсягів продажів. Натомість мінеральна вода демонструє випереджальне зростання і в грошах, і фізично (+39,6% у тис. дал за три роки) — це підтверджує, що зростання Групи дедалі більш</w:t>
      </w:r>
      <w:r>
        <w:rPr>
          <w:sz w:val="22"/>
          <w:szCs w:val="22"/>
        </w:rPr>
        <w:t>е спирається на неалкогольний асортимент, а не на нарощування випуску пива.</w:t>
      </w:r>
    </w:p>
    <w:p w14:paraId="622D85C7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Розраховано на основі Примітки 17 звітності ПрАТ «Оболонь» (дохід за категоріями) та даних Держстату України про середні ціни виробників напоїв (techdrinks.info, за даними Держстату, січень–липень 2024 р.); власні розрахунки з використанням індексу споживчих цін.</w:t>
      </w:r>
    </w:p>
    <w:p w14:paraId="07721FD4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Для довідки — та сама динаміка в грошовому вираженні (без перерахунку у фізичні обсяги) проілюстрована нижче структурою доходу за 2023 і 2025 рр.; повні грошові показники за категоріями наведено в Таблиці 1.2:</w:t>
      </w:r>
    </w:p>
    <w:p w14:paraId="403BB725" w14:textId="77777777" w:rsidR="006F23EA" w:rsidRDefault="00895B90">
      <w:pPr>
        <w:spacing w:before="120" w:after="80"/>
        <w:jc w:val="center"/>
      </w:pPr>
      <w:r>
        <w:rPr>
          <w:noProof/>
        </w:rPr>
        <w:drawing>
          <wp:inline distT="0" distB="0" distL="0" distR="0" wp14:anchorId="4189C41B" wp14:editId="5D351274">
            <wp:extent cx="4381500" cy="2628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E9F2" w14:textId="77777777" w:rsidR="006F23EA" w:rsidRDefault="00895B9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Рис. 3. Структура чистого доходу Групи «Оболонь» за видами продукції, 2023 і 2025 рр. (частки розраховано від суми категорій до вирахування ретро-бонусів).</w:t>
      </w:r>
    </w:p>
    <w:p w14:paraId="3B34CB25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lastRenderedPageBreak/>
        <w:t>Частка пива в структурі доходу знизилась із 52,1% у 2023 р. до 44,3% у 2025 р. (від суми категорій до вирахування ретро-бонусів), що узгоджується з висновком фізичної Таблиці 1.1 про диверсифікацію портфеля Групи.</w:t>
      </w:r>
    </w:p>
    <w:p w14:paraId="7362294C" w14:textId="77777777" w:rsidR="006F23EA" w:rsidRDefault="00895B90">
      <w:pPr>
        <w:pStyle w:val="2"/>
        <w:spacing w:before="240" w:after="160"/>
      </w:pPr>
      <w:r>
        <w:rPr>
          <w:b/>
          <w:bCs/>
          <w:sz w:val="24"/>
          <w:szCs w:val="24"/>
        </w:rPr>
        <w:t>Таблиця 1.2. Аналіз обсягів реалізованої продукції ПрАТ «Оболонь» з урахуванням індексу цін, 2023–2025 рр.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950"/>
        <w:gridCol w:w="950"/>
        <w:gridCol w:w="950"/>
        <w:gridCol w:w="1150"/>
        <w:gridCol w:w="750"/>
        <w:gridCol w:w="1150"/>
        <w:gridCol w:w="1150"/>
        <w:gridCol w:w="750"/>
        <w:gridCol w:w="1150"/>
      </w:tblGrid>
      <w:tr w:rsidR="006F23EA" w14:paraId="2F057E3B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7472B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Вид продукції</w:t>
            </w:r>
          </w:p>
        </w:tc>
        <w:tc>
          <w:tcPr>
            <w:tcW w:w="9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1E828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2023, тис. грн</w:t>
            </w:r>
          </w:p>
        </w:tc>
        <w:tc>
          <w:tcPr>
            <w:tcW w:w="9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40E76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2024, тис. грн</w:t>
            </w:r>
          </w:p>
        </w:tc>
        <w:tc>
          <w:tcPr>
            <w:tcW w:w="9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BAD17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2025, тис. грн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C3E99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Темп зміни номінал. 2024/2023, %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A34FF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ІСЦ 2024, %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FE411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Темп зміни реальний 2024/2023, %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D3A50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Темп зміни номінал. 2025/2024, %</w:t>
            </w:r>
          </w:p>
        </w:tc>
        <w:tc>
          <w:tcPr>
            <w:tcW w:w="7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2FC9C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ІСЦ 2025, %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1B5BA" w14:textId="77777777" w:rsidR="006F23EA" w:rsidRDefault="00895B9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Темп зміни реальний 2025/2024, %</w:t>
            </w:r>
          </w:p>
        </w:tc>
      </w:tr>
      <w:tr w:rsidR="006F23EA" w14:paraId="7A12008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8793A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Пиво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46BE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5 854 236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9A1FF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6 183 755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870BD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6 434 458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9F497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105,6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91E19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112,0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4655F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94,3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1C181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104,1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96375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108,0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94111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96,4</w:t>
            </w:r>
          </w:p>
        </w:tc>
      </w:tr>
      <w:tr w:rsidR="006F23EA" w14:paraId="3632600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BA665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Безалкогольні напої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B38B3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1 483 057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AF3DC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1 738 873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A07AD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1 854 411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55FFF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117,2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0A5E9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112,0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9A12E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104,6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92AC4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106,6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A7EDC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108,0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1C013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98,7</w:t>
            </w:r>
          </w:p>
        </w:tc>
      </w:tr>
      <w:tr w:rsidR="006F23EA" w14:paraId="37D9B97F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A1507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Слабоалкогольні напої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58163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1 090 115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1969F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1 557 965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C1B91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1 631 529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A604C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142,9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CF630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112,0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D5A37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127,6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AD476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104,7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57C98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108,0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9C93C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97,0</w:t>
            </w:r>
          </w:p>
        </w:tc>
      </w:tr>
      <w:tr w:rsidR="006F23EA" w14:paraId="58F8661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E078B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Мінеральна вода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42122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912 206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F3B0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1 386 249</w:t>
            </w:r>
          </w:p>
        </w:tc>
        <w:tc>
          <w:tcPr>
            <w:tcW w:w="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C74B6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1 541 111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658C9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152,0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8FBBA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112,0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DC6D8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135,7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20FC1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111,2</w:t>
            </w:r>
          </w:p>
        </w:tc>
        <w:tc>
          <w:tcPr>
            <w:tcW w:w="7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33D4C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108,0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372D0" w14:textId="77777777" w:rsidR="006F23EA" w:rsidRDefault="00895B90">
            <w:pPr>
              <w:jc w:val="center"/>
            </w:pPr>
            <w:r>
              <w:rPr>
                <w:sz w:val="11"/>
                <w:szCs w:val="11"/>
              </w:rPr>
              <w:t>103,0</w:t>
            </w:r>
          </w:p>
        </w:tc>
      </w:tr>
    </w:tbl>
    <w:p w14:paraId="4C722420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Довідково: офіційний індекс споживчих цін в Україні становив 105,1% (інфляція 5,1%) за 2023 рік, 112,0% за 2024 рік та 108,0% за 2025 рік (Держстат України; підтверджено у самій звітності ПрАТ «Оболонь»). Розрахунок реальної (з урахуванням інфляції) динаміки показує цікаву зміну тренду: у 2024 р. (порівняно з 2023 р.) майже всі категорії, окрім пива, демонстрували випереджаюче зростання цін/обсягів відносно інфляції (слабоалкогольні напої +27,6% реально, мінеральна вода +35,7% реально) — це відображає ефект</w:t>
      </w:r>
      <w:r>
        <w:rPr>
          <w:sz w:val="22"/>
          <w:szCs w:val="22"/>
        </w:rPr>
        <w:t xml:space="preserve"> бази (2023 рік був ще відносно «стиснутим» після 2022 р.) та активне нарощування асортименту. У 2025 р. (порівняно з 2024 р.) картина змінюється на протилежну: реальні обсяги пива та слабоалкогольних напоїв скорочуються (-3,6% та -3,0% відповідно), а безалкогольні напої практично стагнують у реальному вимірі (-1,3%); винятком залишається мінеральна вода, яка й у 2025 р. показує помірне реальне зростання (+3,0%). Це свідчить про уповільнення відновлювальної динаміки ринку на другому-третьому році після поча</w:t>
      </w:r>
      <w:r>
        <w:rPr>
          <w:sz w:val="22"/>
          <w:szCs w:val="22"/>
        </w:rPr>
        <w:t>ткового пожвавлення 2023–2024 рр.</w:t>
      </w:r>
    </w:p>
    <w:p w14:paraId="51E0C54D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Розраховано на основі Примітки 17 звітності ПрАТ «Оболонь» за 2024 та 2025 рр. і офіційних даних Держстату України про індекс споживчих цін (наведені також у Примітці 2 звітності ПрАТ «Оболонь» за 2024 і 2025 рр.).</w:t>
      </w:r>
    </w:p>
    <w:p w14:paraId="36FE0778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4. Аналіз розвитку промисловості (галузі виробництва пива та напоїв) в Україні</w:t>
      </w:r>
    </w:p>
    <w:p w14:paraId="4A716108" w14:textId="77777777" w:rsidR="006F23EA" w:rsidRDefault="00895B90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1) Оцінка основних тенденцій розвитку промисловості</w:t>
      </w:r>
    </w:p>
    <w:p w14:paraId="7AA452F5" w14:textId="77777777" w:rsidR="006F23EA" w:rsidRDefault="00895B90">
      <w:pPr>
        <w:pStyle w:val="2"/>
        <w:spacing w:before="240" w:after="160"/>
      </w:pPr>
      <w:r>
        <w:rPr>
          <w:b/>
          <w:bCs/>
          <w:sz w:val="24"/>
          <w:szCs w:val="24"/>
        </w:rPr>
        <w:t>Таблиця 1.3. Динаміка основних показників розвитку промисловості (виробництво напоїв) в Україні, 2023–2025 рр.</w:t>
      </w:r>
    </w:p>
    <w:p w14:paraId="0D0F8628" w14:textId="77777777" w:rsidR="006F23EA" w:rsidRDefault="00895B90">
      <w:pPr>
        <w:spacing w:after="160" w:line="276" w:lineRule="auto"/>
        <w:jc w:val="both"/>
      </w:pPr>
      <w:r>
        <w:rPr>
          <w:i/>
          <w:iCs/>
          <w:sz w:val="18"/>
          <w:szCs w:val="18"/>
        </w:rPr>
        <w:t>Показники наведено відповідно до методичних рекомендацій (Таблиця 1.3). Оскільки Держстат України з 2022 р. призупинив публікацію окремих показників у розрізі вузьких підгалузей (зокрема «виробництво напоїв», КВЕД 11) через вимоги Закону України «Про захист інтересів суб'єктів подання звітності... в період дії воєнного стану», два показники (основні засоби та рентабельність) наведено за орієнтиром — провідним підприємством галузі ПрАТ «Оболонь», чиї повні аудійовані дані доступні за всі три роки; це дозволя</w:t>
      </w:r>
      <w:r>
        <w:rPr>
          <w:i/>
          <w:iCs/>
          <w:sz w:val="18"/>
          <w:szCs w:val="18"/>
        </w:rPr>
        <w:t>є розрахувати відхилення й темпи зміни для кожного рядка без пропусків.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896"/>
        <w:gridCol w:w="882"/>
        <w:gridCol w:w="910"/>
        <w:gridCol w:w="1083"/>
        <w:gridCol w:w="1083"/>
        <w:gridCol w:w="1064"/>
        <w:gridCol w:w="1064"/>
      </w:tblGrid>
      <w:tr w:rsidR="006F23EA" w14:paraId="6D0A3F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A5778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Показники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A4D24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2023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E40E8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2024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CF485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2025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D966A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Відхилення 2025/2023, +/-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04356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Відхилення 2025/2024, +/-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42A7B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Темп зміни 2025/2023, %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EB4C9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Темп зміни 2025/2024, %</w:t>
            </w:r>
          </w:p>
        </w:tc>
      </w:tr>
      <w:tr w:rsidR="006F23EA" w14:paraId="5F528B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2684A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Обсяг реалізованої продукції промисловості (харчові продукти, напої, тютюн; у фактичних цінах), млрд грн*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7BC9E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730,96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BDC27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776,3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9AD72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835,1**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FA9C3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104,14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04BEB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58,80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D6B69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114,3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E6A58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107,6</w:t>
            </w:r>
          </w:p>
        </w:tc>
      </w:tr>
      <w:tr w:rsidR="006F23EA" w14:paraId="3B2A9BA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1B64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Основні засоби провідного підприємства галузі — Групи «Оболонь» (орієнтир для галузі), млрд грн***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9E7BB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5,179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BBE30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5,697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BF55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5,983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F72B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0,804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03F67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0,286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D2E5A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115,5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82E06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105,0</w:t>
            </w:r>
          </w:p>
        </w:tc>
      </w:tr>
      <w:tr w:rsidR="006F23EA" w14:paraId="6443C9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16EA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Рентабельність операційної діяльності Групи «Оболонь» (орієнтир для галузі), %***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E6CC9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20,7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216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13,5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D4F38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10,7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4EE09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-10,0 п.п.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CAF2D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-2,8 п.п.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93E5E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51,7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A810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79,3</w:t>
            </w:r>
          </w:p>
        </w:tc>
      </w:tr>
      <w:tr w:rsidR="006F23EA" w14:paraId="262A3C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8C773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Середньомісячна номінальна зарплата найманих працівників переробної промисловості, грн****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83F59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≈17 150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3187E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≈21 070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F677A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≈23 600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174A8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6 450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539DA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2 530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964E5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137,6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0730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112,0</w:t>
            </w:r>
          </w:p>
        </w:tc>
      </w:tr>
    </w:tbl>
    <w:p w14:paraId="3D5703A6" w14:textId="77777777" w:rsidR="006F23EA" w:rsidRDefault="00895B90">
      <w:pPr>
        <w:spacing w:after="160" w:line="276" w:lineRule="auto"/>
        <w:jc w:val="both"/>
      </w:pPr>
      <w:r>
        <w:rPr>
          <w:i/>
          <w:iCs/>
          <w:sz w:val="16"/>
          <w:szCs w:val="16"/>
        </w:rPr>
        <w:t>* Категорія «харчові продукти, напої, тютюн» — найвужчий рівень деталізації, регулярно оприлюднюваний Держстатом; частка від загальної реалізованої промислової продукції України становила 22,4% у 2023 р. ** Оцінка автора: застосовано темп приросту чистого доходу Групи «Оболонь» у 2025 р. (+7,6%) як орієнтовний індикатор динаміки галузі, до бази 2024 р. (776,3 млрд грн). *** Держстат не публікує основні засоби й рентабельність у розрізі вузьких підгалузей промисловості (зокрема виробництва напоїв) з 2022 р.;</w:t>
      </w:r>
      <w:r>
        <w:rPr>
          <w:i/>
          <w:iCs/>
          <w:sz w:val="16"/>
          <w:szCs w:val="16"/>
        </w:rPr>
        <w:t xml:space="preserve"> наведено фактичні аудійовані показники Групи «Оболонь» — найбільшого українського виробника галузі зі 100% вітчизняним капіталом — як орієнтир галузевої динаміки. Для довідки: агрегована рентабельність операційної діяльності по категорії «добувна промисловість, переробна промисловість, постачання електроенергії, газу та води» (розділи B+C+D+E за КВЕД) становила 8,0% у 2023 р. **** Оцінка на основі даних Держстату про середньомісячну зарплату в переробній промисловості за січень–липень 2024 р. (в середньому</w:t>
      </w:r>
      <w:r>
        <w:rPr>
          <w:i/>
          <w:iCs/>
          <w:sz w:val="16"/>
          <w:szCs w:val="16"/>
        </w:rPr>
        <w:t xml:space="preserve"> 21 070 грн) з екстраполяцією на 2023 і 2025 рр. пропорційно динаміці загальнонаціональної середньої зарплати.</w:t>
      </w:r>
    </w:p>
    <w:p w14:paraId="4E33D650" w14:textId="77777777" w:rsidR="006F23EA" w:rsidRDefault="00895B90">
      <w:pPr>
        <w:spacing w:before="120" w:after="80"/>
        <w:jc w:val="center"/>
      </w:pPr>
      <w:r>
        <w:rPr>
          <w:noProof/>
        </w:rPr>
        <w:drawing>
          <wp:inline distT="0" distB="0" distL="0" distR="0" wp14:anchorId="5811D364" wp14:editId="3EE788B5">
            <wp:extent cx="4095750" cy="2457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A131" w14:textId="77777777" w:rsidR="006F23EA" w:rsidRDefault="00895B9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Рис. 4. Обсяг виробництва пива в Україні, млн дал, 2023–2025 рр. (графічний метод аналізу динаміки галузевих показників).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908"/>
        <w:gridCol w:w="908"/>
        <w:gridCol w:w="908"/>
        <w:gridCol w:w="1082"/>
        <w:gridCol w:w="1082"/>
        <w:gridCol w:w="1062"/>
        <w:gridCol w:w="1062"/>
      </w:tblGrid>
      <w:tr w:rsidR="006F23EA" w14:paraId="4C50CF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19E61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Довідково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5D750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2023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1FD71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2024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4A8AC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2025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7B969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Відхилення 2025/2023, +/-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0AC56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Відхилення 2025/2024, +/-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04C1E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Темп зміни 2025/2023, %</w:t>
            </w:r>
          </w:p>
        </w:tc>
        <w:tc>
          <w:tcPr>
            <w:tcW w:w="1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4CB87" w14:textId="77777777" w:rsidR="006F23EA" w:rsidRDefault="00895B9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Темп зміни 2025/2024, %</w:t>
            </w:r>
          </w:p>
        </w:tc>
      </w:tr>
      <w:tr w:rsidR="006F23EA" w14:paraId="7B74F7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3BE67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Обсяг виробництва пива в Україні, млн дал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C5BC6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133,4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9730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140,0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F957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134,3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4C0D5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0,9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6685F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-5,7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ED8CF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100,7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03DF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95,9</w:t>
            </w:r>
          </w:p>
        </w:tc>
      </w:tr>
      <w:tr w:rsidR="006F23EA" w14:paraId="693209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CB45B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Індекс споживчих цін (інфляція), 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FD669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105,1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13B56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112,0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E06C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108,0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673B5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2,9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1ACD0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-4,0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F7B08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102,8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FC916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96,4</w:t>
            </w:r>
          </w:p>
        </w:tc>
      </w:tr>
      <w:tr w:rsidR="006F23EA" w14:paraId="0CB97C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1996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Офіційний курс НБУ, грн/дол. США (на кінець року)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5E26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37,9824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C2E5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42,0390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98E2D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42,3878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0296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4,41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0C163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0,35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7C78F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111,6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F9590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100,8</w:t>
            </w:r>
          </w:p>
        </w:tc>
      </w:tr>
      <w:tr w:rsidR="006F23EA" w14:paraId="78481A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13D6E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Частка «великої четвірки» виробників пива на ринку (точкова оцінка в межах діапазону), %*****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E810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67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98C4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78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6DD8D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82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E43B0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15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78C2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7BBF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122,4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37EE7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105,1</w:t>
            </w:r>
          </w:p>
        </w:tc>
      </w:tr>
      <w:tr w:rsidR="006F23EA" w14:paraId="7287B8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D694A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Частка збиткових підприємств у галузі «виробництво безалкогольних напоїв і мінвод» (вибірка топ-10 за виручкою), %******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CF8A7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н/д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BDE10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20,0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2BE0D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н/д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1DDB1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28CBE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E2CC4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8350C" w14:textId="77777777" w:rsidR="006F23EA" w:rsidRDefault="00895B90">
            <w:pPr>
              <w:jc w:val="center"/>
            </w:pPr>
            <w:r>
              <w:rPr>
                <w:sz w:val="13"/>
                <w:szCs w:val="13"/>
              </w:rPr>
              <w:t>-</w:t>
            </w:r>
          </w:p>
        </w:tc>
      </w:tr>
    </w:tbl>
    <w:p w14:paraId="5BC45182" w14:textId="77777777" w:rsidR="006F23EA" w:rsidRDefault="00895B90">
      <w:pPr>
        <w:spacing w:after="160" w:line="276" w:lineRule="auto"/>
        <w:jc w:val="both"/>
      </w:pPr>
      <w:r>
        <w:rPr>
          <w:i/>
          <w:iCs/>
          <w:sz w:val="16"/>
          <w:szCs w:val="16"/>
        </w:rPr>
        <w:t>***** Оцінки ринку публікуються учасниками (NV Бізнес, LIGA.net) у вигляді діапазонів (67% у 2023 р.; 75–80% у 2024 р.; понад 80% у 2025 р.); для розрахунку динаміки в таблиці використано точкові значення в межах цих діапазонів (78% і 82% відповідно). ****** Розраховано на основі вибірки 10 найбільших підприємств галузі «виробництво безалкогольних напоїв і мінеральних вод» (КВЕД 11.07) за даними YC Market/GreenPost (2024 р.): 2 з 10 підприємств (ТОВ «Ізумруд ЛТД», ТОВ «Аквапласт») були збитковими. Це вибірк</w:t>
      </w:r>
      <w:r>
        <w:rPr>
          <w:i/>
          <w:iCs/>
          <w:sz w:val="16"/>
          <w:szCs w:val="16"/>
        </w:rPr>
        <w:t>ова статистика за єдиний рік — порівнянних даних за 2023 і 2025 рр. в опрацьованих джерелах не виявлено, тому рядок наведено без розрахунку динаміки.</w:t>
      </w:r>
    </w:p>
    <w:p w14:paraId="1577DCE5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Висновок за таблицями: галузь виробництва напоїв демонструє помірне відновлення після найгіршого 2022 року, проте динаміка нестійка — приріст виробництва пива у 2024 р. (+4,9%) змінився спадом у 2025 р. (-4,1%). Рентабельність операційної діяльності провідного підприємства галузі послідовно знижується (з 20,7% у 2023 р. до 10,7% у 2025 р., тобто більш ніж удвічі за три роки), що узгоджується з відносно невисокою агрегованою рентабельністю переробної промисловості в цілому (8,0% у 2023 р.) і підтверджує тезу</w:t>
      </w:r>
      <w:r>
        <w:rPr>
          <w:sz w:val="22"/>
          <w:szCs w:val="22"/>
        </w:rPr>
        <w:t xml:space="preserve"> про випереджальне зростання витрат порівняно з доходами (розділ 2). На рівні окремих підприємств галузі спостерігається значна поляризація: від збиткових компаній (ТОВ «Ізумруд ЛТД», чиста маржа -25,7%) до високоприбуткових (ТОВ «Карпатські мінеральні води», чиста маржа 42,2%). Водночас консолідація ринку триває — частка «великої четвірки» зросла з 67% (2023 р.) до орієнтовно 82% (2025 р.), а зростання номінальної зарплати в переробній промисловості (+37,6% за три роки) випереджає динаміку фізичних обсягів</w:t>
      </w:r>
      <w:r>
        <w:rPr>
          <w:sz w:val="22"/>
          <w:szCs w:val="22"/>
        </w:rPr>
        <w:t xml:space="preserve"> виробництва, що підтверджує тезу про кадровий дефіцит як ключовий структурний виклик галузі (детальніше — розділ 8).</w:t>
      </w:r>
    </w:p>
    <w:p w14:paraId="3261E98D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Держстат України (ukrstat.gov.ua, stat.gov.ua, включно з регіональними управліннями); Мінфін (minfin.com.ua, index.minfin.com.ua); techdrinks.info; «Укрпиво»; NV Бізнес; LIGA.net; YC Market/GreenPost (greenpost.ua) — фінансові показники підприємств галузі «виробництво безалкогольних напоїв і мінеральних вод»; консолідована звітність ПрАТ «Оболонь» (Примітки 4.1, 7 — офіційні курси НБУ, основні засоби).</w:t>
      </w:r>
    </w:p>
    <w:p w14:paraId="71498E14" w14:textId="77777777" w:rsidR="006F23EA" w:rsidRDefault="00895B90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2) Характеристика основних споживачів продукції</w:t>
      </w:r>
    </w:p>
    <w:p w14:paraId="2DDC7686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Основні канали збуту продукції Оболонь — роздрібна торгівля (мережевий та несмережевий рітейл), HoReCa (заклади громадського харчування) та експорт. Кінцевий споживач — населення України віком від 18 років; для мінеральної та питної води — усі вікові категорії, включно з сегментом «здорового способу життя» та зростаючим попитом на безалкогольне пиво (з вмістом алкоголю 0,0%).</w:t>
      </w:r>
    </w:p>
    <w:p w14:paraId="7DBBC3D3" w14:textId="77777777" w:rsidR="006F23EA" w:rsidRDefault="00895B90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3) Визначення кількості конкуруючих на ринку підприємств-виробників аналогічної продукції</w:t>
      </w:r>
    </w:p>
    <w:p w14:paraId="27546AFE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На ринку пива України діють чотири великі виробники — ПрАТ «Оболонь» (100% український капітал), Carlsberg Ukraine, AB InBev Efes Україна (міжнародні концерни) та Перша приватна броварня, — а також десятки регіональних і крафтових пивоварень (наприклад, «Опілля», Zibert, MOVA та ін.), сукупна частка яких не перевищує 20%. На суміжному ринку мінеральних вод і безалкогольних напоїв конкурентами виступають також Coca-Cola HBC Ukraine, IDS Borjomi Ukraine, «Моршинська» (IDS Borjomi), «Біола», «Сандора» (PepsiCo</w:t>
      </w:r>
      <w:r>
        <w:rPr>
          <w:sz w:val="22"/>
          <w:szCs w:val="22"/>
        </w:rPr>
        <w:t>) тощо.</w:t>
      </w:r>
    </w:p>
    <w:p w14:paraId="6C995721" w14:textId="77777777" w:rsidR="006F23EA" w:rsidRDefault="00895B90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4) Оцінка бар'єрів входу на ринок</w:t>
      </w:r>
    </w:p>
    <w:p w14:paraId="51B08A6B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Високий рівень капіталомісткості виробництва (пивоварне обладнання, солодовні, лінії розливу) та необхідність значних інвестицій у потужності;</w:t>
      </w:r>
    </w:p>
    <w:p w14:paraId="7CBB0767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Наявність усталених брендів і лояльності споживачів у лідерів ринку, що ускладнює вихід нових гравців у масовий сегмент;</w:t>
      </w:r>
    </w:p>
    <w:p w14:paraId="2E180722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Ліцензування виробництва та обігу алкогольних напоїв, акцизне регулювання;</w:t>
      </w:r>
    </w:p>
    <w:p w14:paraId="6AD681FC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Залежність від імпортної сировини (хміль) та обладнання, що підвищує вхідний поріг у валютному вимірі;</w:t>
      </w:r>
    </w:p>
    <w:p w14:paraId="42458A32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Воєнні ризики — пошкодження інфраструктури, дефіцит електроенергії, логістичні обмеження — додатково підвищують бар'єри для нових інвесторів.</w:t>
      </w:r>
    </w:p>
    <w:p w14:paraId="00D37E81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5. Аналіз ринку сировини і матеріалів</w:t>
      </w:r>
    </w:p>
    <w:p w14:paraId="4CA8C246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Основна сировина для виробництва пива — солод, хміль (хмелепродукти), пивоварний ячмінь та вода; для безалкогольних напоїв і мінеральної води — вода, цукор/підсолоджувачі, ароматичні концентрати, диоксид вуглецю, а також пакувальні матеріали (скло, ПЕТ, алюмінієва банка, кеги).</w:t>
      </w:r>
    </w:p>
    <w:p w14:paraId="0131E61B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Ринок солоду та пивоварного ячменю в Україні є олігополістичним: три ключові гравці — Malteurop, Soufflet та ПрАТ «Оболонь» — контролюють сумарні потужності близько 0,5 млн тонн солоду на рік, утримуючи приблизно рівні частки. Оболонь має власну солодовню потужністю 120 тис. тонн солоду на рік (власна потреба — до 80 тис. тонн), що суттєво знижує залежність компанії від зовнішніх постачальників і валютні ризики за цією статтею витрат.</w:t>
      </w:r>
    </w:p>
    <w:p w14:paraId="72553D3F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Ринок хмелю в Україні критично залежить від імпорту: власні площі вирощування скоротилися з 7,4 тис. га (1990 р.) до близько 0,4 тис. га, вітчизняні виробники забезпечують лише близько 20% потреби пивоварів в альфа-кислотах (100–120 тонн/рік), решта імпортується (переважно з ЄС); частка України на світовому ринку хмелесировини — 0,5%. Це є суттєвим фактором валютного та логістичного ризику для галузі.</w:t>
      </w:r>
    </w:p>
    <w:p w14:paraId="4B1B96DE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Пакувальні матеріали (скло, ПЕТ-преформи, алюмінієва банка, кеги) виробляються частково в Україні, частково імпортуються; зростання цін на енергоносії та логістичні витрати під час війни підвищили собівартість тари.</w:t>
      </w:r>
    </w:p>
    <w:p w14:paraId="7C77A720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У консолідованій звітності Оболонь витрати на сировину і матеріали зросли з 4 452 821 тис. грн (2023 р.) до 5 698 511 тис. грн (2024 р., +28,0%) і 6 192 481 тис. грн (2025 р., +8,7%) — сукупне зростання на 39,1% за три роки, що відображає як розширення обсягів виробництва, так і подорожчання сировини (солод, хміль, пакувальні матеріали) на тлі валютних коливань. Показово, що витрати на комунальні послуги зросли ще стрімкіше — з 764 112 тис. грн (2023 р.) до 1 064 649 тис. грн (2024 р., +39,3%) і 1 317 228 т</w:t>
      </w:r>
      <w:r>
        <w:rPr>
          <w:sz w:val="22"/>
          <w:szCs w:val="22"/>
        </w:rPr>
        <w:t>ис. грн (2025 р., +23,7%), а транспортні витрати — з 984 855 тис. грн (2023 р.) до 1 385 603 тис. грн (2024 р., +40,7%) і 1 503 722 тис. грн (2025 р., +8,5%), що відображає зростання цін на енергоносії та логістичних витрат в умовах війни. Запаси (сировина й матеріали, готова продукція, тара) також зросли — з 1 956 845 тис. грн (2024 р.) до 2 257 983 тис. грн (2025 р.), тобто на 15,4%.</w:t>
      </w:r>
    </w:p>
    <w:p w14:paraId="155366B8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Agravery.com; AgroPortal.ua; Примітка 9 консолідованої звітності ПрАТ «Оболонь» за 2025 р.</w:t>
      </w:r>
    </w:p>
    <w:p w14:paraId="3B98707E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6. Аналіз ринку техніки та технологій</w:t>
      </w:r>
    </w:p>
    <w:p w14:paraId="62206ED5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Технологічне обладнання для пивоварної та безалкогольної галузі (варильні порядки, лінії розливу, солодовні, холодильне обладнання) в Україні практично не виробляється і імпортується переважно з Німеччини та інших країн ЄС, що робить капітальні інвестиції чутливими до курсу гривні відносно євро.</w:t>
      </w:r>
    </w:p>
    <w:p w14:paraId="1148D226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Група «Оболонь» продовжує інвестувати в основні засоби навіть в умовах війни, проте темпи капітальних інвестицій нерівномірні: придбання основних засобів (за звітом про рух грошових коштів) становило 694 768 тис. грн у 2023 р., різко зросло до 1 143 493 тис. грн у 2024 р. (+64,6%), а у 2025 р. дещо знизилося до 936 781 тис. грн (-18,1% до 2024 р.), залишаючись при цьому значно вищим за рівень 2023 року (+34,8%). Така динаміка свідчить про активну хвилю модернізації потужностей у 2024 р. (ймовірно, пов'язану</w:t>
      </w:r>
      <w:r>
        <w:rPr>
          <w:sz w:val="22"/>
          <w:szCs w:val="22"/>
        </w:rPr>
        <w:t xml:space="preserve"> з відновленням після пошкоджень та розширенням асортименту) з подальшою стабілізацією інвестиційної активності на дещо нижчому, але стійкому рівні.</w:t>
      </w:r>
    </w:p>
    <w:p w14:paraId="31B2BD71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Галузева тенденція — зростання інтересу до технологій виробництва безалкогольного пива (0,0%), крафтових і функціональних напоїв, що потребує додаткових інвестицій у нові виробничі лінії та лабораторний контроль якості.</w:t>
      </w:r>
    </w:p>
    <w:p w14:paraId="311A7663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7. Моніторинг ринку джерел фінансових ресурсів</w:t>
      </w:r>
    </w:p>
    <w:p w14:paraId="5F3C81BD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Облікова ставка НБУ протягом 2023–2025 рр. пройшла шлях від 16% (до грудня 2023 р.) до мінімуму 13,0% (червень 2024 р.) і назад до 15,5% (березень 2025 р.); знижена до 15,0% у січні 2026 р. Це визначає вартість банківського фінансування для підприємств галузі.</w:t>
      </w:r>
    </w:p>
    <w:p w14:paraId="2F4A1E55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Офіційний курс НБУ (грн за 1 дол. США / 1 євро, на кінець року): 36,5686 / 38,9510 (2022 р.) → 37,9824 / 42,2079 (2023 р.) → 42,0390 / 43,9266 (2024 р.) → 42,3878 / 49,8565 (2025 р.). Гривня до долара девальвувала помірно (+11,6% за 2023–2025 рр.), тоді як до євро — суттєвіше (+28,0% за 2023–2025 рр.), що підвищує вартість імпортної сировини й обладнання, деноміновану переважно в цій валюті.</w:t>
      </w:r>
    </w:p>
    <w:p w14:paraId="497A6138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Міжнародні резерви України станом на 31.12.2025 сягнули 57,3 млрд дол. США; зовнішнє фінансування державного бюджету у 2025 р. склало 52,4 млрд дол. США (43 млрд дол. у 2023 р., 41 млрд дол. у 2024 р.) — це підтримує макрофінансову стабільність і опосередковано знижує системні фінансові ризики для бізнесу.</w:t>
      </w:r>
    </w:p>
    <w:p w14:paraId="76F07FFA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Оболонь фінансує діяльність переважно за рахунок власного капіталу та операційного грошового потоку (1 615 млн грн чистого руху коштів від операційної діяльності у 2023 р., 1 562 млн грн у 2024 р., 1 534 млн грн у 2025 р. — стабільно високий і майже незмінний операційний грошовий потік). Боргове навантаження Групи послідовно й суттєво знижується: коефіцієнт частки позикових коштів («чиста заборгованість / капітал + чиста заборгованість») скоротився з 12% (2023 р.) до 9% (2024 р.) і лише 3% (2025 р.) — це од</w:t>
      </w:r>
      <w:r>
        <w:rPr>
          <w:sz w:val="22"/>
          <w:szCs w:val="22"/>
        </w:rPr>
        <w:t>нозначно свідчить про зростання фінансової незалежності та стійкості компанії до кредитних і валютних ризиків, попри одночасне зниження прибутковості.</w:t>
      </w:r>
    </w:p>
    <w:p w14:paraId="036A8379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Примітки 2, 4.1, 14, 28, 30 консолідованої звітності ПрАТ «Оболонь»; НБУ (bank.gov.ua).</w:t>
      </w:r>
    </w:p>
    <w:p w14:paraId="284270EE" w14:textId="77777777" w:rsidR="006F23EA" w:rsidRDefault="00895B90">
      <w:pPr>
        <w:spacing w:before="120" w:after="80"/>
        <w:jc w:val="center"/>
      </w:pPr>
      <w:r>
        <w:rPr>
          <w:noProof/>
        </w:rPr>
        <w:drawing>
          <wp:inline distT="0" distB="0" distL="0" distR="0" wp14:anchorId="53745860" wp14:editId="316F45CD">
            <wp:extent cx="4000500" cy="240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283D" w14:textId="77777777" w:rsidR="006F23EA" w:rsidRDefault="00895B9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Рис. 5. Коефіцієнт частки позикових коштів Групи «Оболонь», %, 2023–2025 рр.</w:t>
      </w:r>
    </w:p>
    <w:p w14:paraId="665B7477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8. Оцінка забезпеченості галузі трудовими ресурсами</w:t>
      </w:r>
    </w:p>
    <w:p w14:paraId="5D8FDDEF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Дефіцит кадрів залишається однією з ключових проблем українського бізнесу: 74% компаній повідомили про значний дефіцит кадрів у 2025 р. (проти 71% у 2024 р.), опитування Європейської Бізнес Асоціації; харчова промисловість і легке виробництво прямо названі серед галузей з найгострішим дефіцитом молодих працівників.</w:t>
      </w:r>
    </w:p>
    <w:p w14:paraId="7341F875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Середня номінальна заробітна плата в економіці України послідовно зростала: 17 442 грн (2023 р., +17,3% р/р) → 21 473 грн (2024 р., +23,1% р/р) → близько 23 460 грн (I півріччя 2025 р., приблизно +9–10% р/р) — тобто зростання номінальних зарплат уповільнюється третій рік поспіль, попри збереження гострого дефіциту кадрів, що свідчить про поступове наближення ринку праці до межі платоспроможного попиту роботодавців.</w:t>
      </w:r>
    </w:p>
    <w:p w14:paraId="44E58A27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У звітності Оболонь витрати на оплату праці зростають прискореними темпами: 1 123 838 тис. грн (2023 р.) → 1 411 028 тис. грн (2024 р., +25,6%) → 1 605 788 тис. грн (2025 р., +13,8%) — сукупне зростання на 42,9% за три роки, що суттєво випереджає офіційне зростання середньої зарплати в економіці (+34,5% за 2023–2025 рр.) і відображає загострення конкуренції за персонал у виробничому секторі в умовах кадрового дефіциту.</w:t>
      </w:r>
    </w:p>
    <w:p w14:paraId="34F1D881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Виплати ключовому управлінському персоналу Групи (незмінно 12 осіб протягом усіх трьох років) зросли з 68 186 тис. грн (2023 р.) до 73 003 тис. грн (2024 р., +7,1%) і 77 528 тис. грн (2025 р., +6,2%) — темпи зростання винагороди топ-менеджменту помірніші й стабільніші, ніж загальний фонд оплати праці Групи.</w:t>
      </w:r>
    </w:p>
    <w:p w14:paraId="3D0B9AA4" w14:textId="77777777" w:rsidR="006F23EA" w:rsidRDefault="00895B90">
      <w:pPr>
        <w:spacing w:after="200"/>
      </w:pPr>
      <w:r>
        <w:rPr>
          <w:i/>
          <w:iCs/>
          <w:color w:val="555555"/>
          <w:sz w:val="18"/>
          <w:szCs w:val="18"/>
        </w:rPr>
        <w:t>Джерело: Європейська Бізнес Асоціація (eba.com.ua); Мінфін (minfin.com.ua); Примітки 18–20, 26 звітності ПрАТ «Оболонь».</w:t>
      </w:r>
    </w:p>
    <w:p w14:paraId="01384DE3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9. Загальний висновок про вплив факторів зовнішнього середовища</w:t>
      </w:r>
    </w:p>
    <w:p w14:paraId="6810BBCE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Зовнішнє бізнес-середовище, у якому функціонує ПрАТ «Оболонь», характеризується поєднанням суттєвих ризиків і водночас ознак поступової адаптації галузі до умов повномасштабної війни. Ключовим негативним фактором залишається безпекова ситуація: руйнування інфраструктури, дефіцит електроенергії, вимушена міграція населення (близько 4,3 млн українців за кордоном і 4,9 млн внутрішньо переміщених осіб) — усе це стримує як пропозицію (виробничі потужності, робочу силу), так і попит на продукцію галузі. Аудитор Г</w:t>
      </w:r>
      <w:r>
        <w:rPr>
          <w:sz w:val="22"/>
          <w:szCs w:val="22"/>
        </w:rPr>
        <w:t>рупи прямо вказує на суттєву невизначеність щодо безперервності діяльності, пов'язану з можливою ескалацією бойових дій.</w:t>
      </w:r>
    </w:p>
    <w:p w14:paraId="6501AC78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Водночас макроекономічні показники демонструють ознаки стабілізації: інфляція уповільнилася до 8,0% у 2025 р. (з 12,0% у 2024 р.), міжнародні резерви й обсяги зовнішньої фінансової підтримки зростають, а промислове виробництво харчової галузі впродовж 2024 р. зростало швидше середнього по промисловості. Фінансові результати самого підприємства це підтверджують: чистий дохід Групи зріс на 7,6% у 2025 р. (до 14,05 млрд грн), а фінансова стійкість (коефіцієнт боргового навантаження — лише 3%) є високою.</w:t>
      </w:r>
    </w:p>
    <w:p w14:paraId="0C426CB6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Головними викликами, що потребують реагування менеджменту, є: (1) валютний ризик через імпортозалежність за хмелем, обладнанням і частиною пакувальних матеріалів на тлі девальвації гривні до євро; (2) дефіцит кваліфікованих кадрів і зростання витрат на оплату праці; (3) фізичне скорочення обсягів виробництва пива в галузі у 2025 р. (-4,7% р/р) на тлі загального зниження ринку до 79% від довоєнного рівня; (4) посилення конкуренції з боку регіональних і крафтових виробників у певні періоди нестабільності вели</w:t>
      </w:r>
      <w:r>
        <w:rPr>
          <w:sz w:val="22"/>
          <w:szCs w:val="22"/>
        </w:rPr>
        <w:t>ких гравців.</w:t>
      </w:r>
    </w:p>
    <w:p w14:paraId="6B5131EB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10. Перспективи подальшого розвитку галузі</w:t>
      </w:r>
    </w:p>
    <w:p w14:paraId="24F5003B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Відновлювальний потенціал ринку залишається значним: наявні потужності дозволяють до двох разів наростити випуск пива відносно поточного рівня без істотних нових капіталовкладень (за оцінкою Carlsberg Ukraine), що створює простір для зростання у разі стабілізації безпекової ситуації.</w:t>
      </w:r>
    </w:p>
    <w:p w14:paraId="661694A6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НБУ прогнозує поступове відновлення економіки України: зростання реального ВВП з 1,9% (2025 р.) до 2,8–3,7% у 2027–2028 рр., що позитивно вплине на купівельну спроможність населення і споживання напоїв.</w:t>
      </w:r>
    </w:p>
    <w:p w14:paraId="0B518D82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Диверсифікація асортименту (безалкогольне пиво, функціональні та слабоалкогольні напої, преміальні мінеральні води) та розширення експорту (наявність дочірніх структур і збутових потужностей у Молдові та Польщі) є стратегічними напрямами зростання для Оболонь в умовах обмеженого внутрішнього ринку.</w:t>
      </w:r>
    </w:p>
    <w:p w14:paraId="52AE689A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Ризик подальшого посилення кадрового дефіциту та збереження підвищеної волатильності валютного курсу вимагатиме продовження інвестицій у автоматизацію виробництва та розвиток власної сировинної бази (солодовні), що вже частково реалізовано компанією.</w:t>
      </w:r>
    </w:p>
    <w:p w14:paraId="07EFB484" w14:textId="77777777" w:rsidR="006F23EA" w:rsidRDefault="00895B90">
      <w:pPr>
        <w:spacing w:after="160" w:line="276" w:lineRule="auto"/>
        <w:jc w:val="both"/>
      </w:pPr>
      <w:r>
        <w:rPr>
          <w:sz w:val="22"/>
          <w:szCs w:val="22"/>
        </w:rPr>
        <w:t>Отже, застосування МСБО 29 та припущення про безперервність діяльності, використані у звітності Оболонь, є виправданими: компанія зберігає стійкі фінансові показники та адаптивність до змінних умов зовнішнього середовища, водночас перспективи галузі в цілому залишаються помірно позитивними за умови поступової стабілізації безпекової та макроекономічної ситуації в Україні.</w:t>
      </w:r>
    </w:p>
    <w:p w14:paraId="11ECD3E5" w14:textId="77777777" w:rsidR="006F23EA" w:rsidRDefault="00895B90">
      <w:pPr>
        <w:pStyle w:val="1"/>
        <w:spacing w:before="300" w:after="200"/>
      </w:pPr>
      <w:r>
        <w:rPr>
          <w:b/>
          <w:bCs/>
          <w:sz w:val="28"/>
          <w:szCs w:val="28"/>
        </w:rPr>
        <w:t>Джерела інформації</w:t>
      </w:r>
    </w:p>
    <w:p w14:paraId="4589A48D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Консолідована фінансова звітність ПрАТ «Оболонь» згідно МСФЗ за 2024 рік (з порівняльними аудійованими даними за 2023 рік) та за 2025 рік, і відповідні Звіти незалежного аудитора (RSM Україна).</w:t>
      </w:r>
    </w:p>
    <w:p w14:paraId="4C7A7D14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Державна служба статистики України — ukrstat.gov.ua.</w:t>
      </w:r>
    </w:p>
    <w:p w14:paraId="121D4987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Національний банк України — bank.gov.ua.</w:t>
      </w:r>
    </w:p>
    <w:p w14:paraId="089A6AAE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Галузева асоціація пивоварів «Укрпиво» — ukrpivo.com, techdrinks.info.</w:t>
      </w:r>
    </w:p>
    <w:p w14:paraId="26FB5640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ain.ua, landlord.ua — огляди обсягів виробництва пива в Україні (2024–2025 рр.).</w:t>
      </w:r>
    </w:p>
    <w:p w14:paraId="1328A234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NV Бізнес (biz.nv.ua) — структура ринку пива, частки «великої четвірки».</w:t>
      </w:r>
    </w:p>
    <w:p w14:paraId="18E36D46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LIGA.net (biz.liga.net) — аналітика ринку пива, дослідження Pro-Consulting.</w:t>
      </w:r>
    </w:p>
    <w:p w14:paraId="67E3DBBC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Agravery.com, AgroPortal.ua — ринок хмелю та солоду в Україні.</w:t>
      </w:r>
    </w:p>
    <w:p w14:paraId="2B71BC2D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Європейська Бізнес Асоціація (eba.com.ua) — дослідження ринку праці 2025–2026 рр.</w:t>
      </w:r>
    </w:p>
    <w:p w14:paraId="454CCE02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Мінфін (minfin.com.ua, index.minfin.com.ua), Forbes Ukraine (forbes.ua) — динаміка середньої заробітної плати.</w:t>
      </w:r>
    </w:p>
    <w:p w14:paraId="2E87FD64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Interfax-Україна (interfax.com.ua) — індекси промислового виробництва.</w:t>
      </w:r>
    </w:p>
    <w:p w14:paraId="3210B6ED" w14:textId="77777777" w:rsidR="006F23EA" w:rsidRDefault="00895B90">
      <w:pPr>
        <w:pStyle w:val="a4"/>
        <w:numPr>
          <w:ilvl w:val="0"/>
          <w:numId w:val="1"/>
        </w:numPr>
        <w:spacing w:after="80"/>
      </w:pPr>
      <w:r>
        <w:rPr>
          <w:sz w:val="22"/>
          <w:szCs w:val="22"/>
        </w:rPr>
        <w:t>YC Market / GreenPost (greenpost.ua) — фінансові показники підприємств галузі «виробництво безалкогольних напоїв і мінеральних вод».</w:t>
      </w:r>
    </w:p>
    <w:sectPr w:rsidR="006F23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86262"/>
    <w:multiLevelType w:val="hybridMultilevel"/>
    <w:tmpl w:val="27766702"/>
    <w:lvl w:ilvl="0" w:tplc="5430119E">
      <w:start w:val="1"/>
      <w:numFmt w:val="bullet"/>
      <w:lvlText w:val="●"/>
      <w:lvlJc w:val="left"/>
      <w:pPr>
        <w:ind w:left="720" w:hanging="360"/>
      </w:pPr>
    </w:lvl>
    <w:lvl w:ilvl="1" w:tplc="54D271A8">
      <w:start w:val="1"/>
      <w:numFmt w:val="bullet"/>
      <w:lvlText w:val="○"/>
      <w:lvlJc w:val="left"/>
      <w:pPr>
        <w:ind w:left="1440" w:hanging="360"/>
      </w:pPr>
    </w:lvl>
    <w:lvl w:ilvl="2" w:tplc="CEEA8640">
      <w:start w:val="1"/>
      <w:numFmt w:val="bullet"/>
      <w:lvlText w:val="■"/>
      <w:lvlJc w:val="left"/>
      <w:pPr>
        <w:ind w:left="2160" w:hanging="360"/>
      </w:pPr>
    </w:lvl>
    <w:lvl w:ilvl="3" w:tplc="CF8A65CA">
      <w:start w:val="1"/>
      <w:numFmt w:val="bullet"/>
      <w:lvlText w:val="●"/>
      <w:lvlJc w:val="left"/>
      <w:pPr>
        <w:ind w:left="2880" w:hanging="360"/>
      </w:pPr>
    </w:lvl>
    <w:lvl w:ilvl="4" w:tplc="71287630">
      <w:start w:val="1"/>
      <w:numFmt w:val="bullet"/>
      <w:lvlText w:val="○"/>
      <w:lvlJc w:val="left"/>
      <w:pPr>
        <w:ind w:left="3600" w:hanging="360"/>
      </w:pPr>
    </w:lvl>
    <w:lvl w:ilvl="5" w:tplc="969A2962">
      <w:start w:val="1"/>
      <w:numFmt w:val="bullet"/>
      <w:lvlText w:val="■"/>
      <w:lvlJc w:val="left"/>
      <w:pPr>
        <w:ind w:left="4320" w:hanging="360"/>
      </w:pPr>
    </w:lvl>
    <w:lvl w:ilvl="6" w:tplc="E7241012">
      <w:start w:val="1"/>
      <w:numFmt w:val="bullet"/>
      <w:lvlText w:val="●"/>
      <w:lvlJc w:val="left"/>
      <w:pPr>
        <w:ind w:left="5040" w:hanging="360"/>
      </w:pPr>
    </w:lvl>
    <w:lvl w:ilvl="7" w:tplc="DFFC7C0C">
      <w:start w:val="1"/>
      <w:numFmt w:val="bullet"/>
      <w:lvlText w:val="●"/>
      <w:lvlJc w:val="left"/>
      <w:pPr>
        <w:ind w:left="5760" w:hanging="360"/>
      </w:pPr>
    </w:lvl>
    <w:lvl w:ilvl="8" w:tplc="525055D6">
      <w:start w:val="1"/>
      <w:numFmt w:val="bullet"/>
      <w:lvlText w:val="●"/>
      <w:lvlJc w:val="left"/>
      <w:pPr>
        <w:ind w:left="6480" w:hanging="360"/>
      </w:pPr>
    </w:lvl>
  </w:abstractNum>
  <w:num w:numId="1" w16cid:durableId="605843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3EA"/>
    <w:rsid w:val="00270FB9"/>
    <w:rsid w:val="006F23EA"/>
    <w:rsid w:val="0089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4A968"/>
  <w15:docId w15:val="{168E8C5D-BD6E-4A53-8917-E6F324A4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theme" Target="theme/theme1.xml"/><Relationship Id="rId5" Type="http://schemas.openxmlformats.org/officeDocument/2006/relationships/image" Target="media/image1.undefined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4680</Words>
  <Characters>26677</Characters>
  <Application>Microsoft Office Word</Application>
  <DocSecurity>0</DocSecurity>
  <Lines>222</Lines>
  <Paragraphs>62</Paragraphs>
  <ScaleCrop>false</ScaleCrop>
  <Company/>
  <LinksUpToDate>false</LinksUpToDate>
  <CharactersWithSpaces>31295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Саня Слюсар</cp:lastModifiedBy>
  <cp:revision>1</cp:revision>
  <dcterms:created xsi:type="dcterms:W3CDTF">2026-09-15T07:42:00Z</dcterms:created>
  <dcterms:modified xsi:type="dcterms:W3CDTF">2026-09-20T14:04:00Z</dcterms:modified>
</cp:coreProperties>
</file>