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BDB518" w14:textId="65B6F777" w:rsidR="00105FCB" w:rsidRDefault="00105FCB">
      <w:pPr>
        <w:rPr>
          <w:lang w:val="sq-AL"/>
        </w:rPr>
      </w:pPr>
      <w:r>
        <w:rPr>
          <w:lang w:val="sq-AL"/>
        </w:rPr>
        <w:t>Aufgabe 2</w:t>
      </w:r>
    </w:p>
    <w:p w14:paraId="76678FF2" w14:textId="45E7B734" w:rsidR="00FD78C0" w:rsidRDefault="00105FCB">
      <w:pPr>
        <w:rPr>
          <w:lang w:val="sq-AL"/>
        </w:rPr>
      </w:pPr>
      <w:r>
        <w:rPr>
          <w:lang w:val="sq-AL"/>
        </w:rPr>
        <w:t>Human Gene Sequenz von “Human Hemoglobin subunit alpha”(</w:t>
      </w:r>
      <w:r w:rsidR="00C5039E">
        <w:rPr>
          <w:lang w:val="sq-AL"/>
        </w:rPr>
        <w:t>HBA</w:t>
      </w:r>
      <w:r>
        <w:rPr>
          <w:lang w:val="sq-AL"/>
        </w:rPr>
        <w:t>)</w:t>
      </w:r>
    </w:p>
    <w:p w14:paraId="2D79C5C0" w14:textId="07EE441E" w:rsidR="00C5039E" w:rsidRPr="00C5039E" w:rsidRDefault="00C5039E" w:rsidP="00C5039E">
      <w:pPr>
        <w:pBdr>
          <w:top w:val="dotted" w:sz="6" w:space="17" w:color="auto"/>
          <w:left w:val="dotted" w:sz="6" w:space="17" w:color="auto"/>
          <w:bottom w:val="dotted" w:sz="6" w:space="17" w:color="auto"/>
          <w:right w:val="dotted" w:sz="6" w:space="17"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222222"/>
          <w:sz w:val="21"/>
          <w:szCs w:val="21"/>
          <w:lang w:val="sq-AL" w:eastAsia="de-DE"/>
        </w:rPr>
      </w:pPr>
      <w:r w:rsidRPr="00C5039E">
        <w:rPr>
          <w:rFonts w:ascii="Courier New" w:eastAsia="Times New Roman" w:hAnsi="Courier New" w:cs="Courier New"/>
          <w:noProof w:val="0"/>
          <w:color w:val="222222"/>
          <w:sz w:val="21"/>
          <w:szCs w:val="21"/>
          <w:lang w:val="sq-AL" w:eastAsia="de-DE"/>
        </w:rPr>
        <w:t xml:space="preserve">          </w:t>
      </w:r>
      <w:r w:rsidRPr="00C5039E">
        <w:rPr>
          <w:rFonts w:ascii="Courier New" w:eastAsia="Times New Roman" w:hAnsi="Courier New" w:cs="Courier New"/>
          <w:noProof w:val="0"/>
          <w:color w:val="222222"/>
          <w:sz w:val="21"/>
          <w:szCs w:val="21"/>
          <w:lang w:val="sq-AL" w:eastAsia="de-DE"/>
        </w:rPr>
        <w:br/>
        <w:t xml:space="preserve">MVLSPADKTN VKAAWGKVGA HAGEYGAEAL ERMFLSFPTT KTYFPHFDLS </w:t>
      </w:r>
      <w:r w:rsidRPr="00C5039E">
        <w:rPr>
          <w:rFonts w:ascii="Courier New" w:eastAsia="Times New Roman" w:hAnsi="Courier New" w:cs="Courier New"/>
          <w:noProof w:val="0"/>
          <w:color w:val="222222"/>
          <w:sz w:val="21"/>
          <w:szCs w:val="21"/>
          <w:lang w:val="sq-AL" w:eastAsia="de-DE"/>
        </w:rPr>
        <w:br/>
        <w:t xml:space="preserve">HGSAQVKGHG KKVADALTNA VAHVDDMPNA LSALSDLHAH KLRVDPVNFK </w:t>
      </w:r>
      <w:r w:rsidRPr="00C5039E">
        <w:rPr>
          <w:rFonts w:ascii="Courier New" w:eastAsia="Times New Roman" w:hAnsi="Courier New" w:cs="Courier New"/>
          <w:noProof w:val="0"/>
          <w:color w:val="222222"/>
          <w:sz w:val="21"/>
          <w:szCs w:val="21"/>
          <w:lang w:val="sq-AL" w:eastAsia="de-DE"/>
        </w:rPr>
        <w:br/>
        <w:t xml:space="preserve">LLSHCLLVTL AAHLPAEFTP AVHASLDKFL ASVSTVLTSK YR </w:t>
      </w:r>
    </w:p>
    <w:p w14:paraId="3C884B67" w14:textId="5AB7E1F4" w:rsidR="00C5039E" w:rsidRDefault="00C5039E">
      <w:pPr>
        <w:rPr>
          <w:lang w:val="sq-AL"/>
        </w:rPr>
      </w:pPr>
    </w:p>
    <w:p w14:paraId="5B642A2D" w14:textId="7FBFDE44" w:rsidR="00C5039E" w:rsidRDefault="00105FCB">
      <w:pPr>
        <w:rPr>
          <w:lang w:val="sq-AL"/>
        </w:rPr>
      </w:pPr>
      <w:r>
        <w:rPr>
          <w:lang w:val="sq-AL"/>
        </w:rPr>
        <w:t>Human Gene Sequenz von “Human Hemoglobin subunit beta”(</w:t>
      </w:r>
      <w:r w:rsidR="00C5039E">
        <w:rPr>
          <w:lang w:val="sq-AL"/>
        </w:rPr>
        <w:t>HBB</w:t>
      </w:r>
      <w:r>
        <w:rPr>
          <w:lang w:val="sq-AL"/>
        </w:rPr>
        <w:t>)</w:t>
      </w:r>
    </w:p>
    <w:p w14:paraId="1214B899" w14:textId="3FFA839F" w:rsidR="00C5039E" w:rsidRPr="00C5039E" w:rsidRDefault="00C5039E" w:rsidP="00C5039E">
      <w:pPr>
        <w:pStyle w:val="HTML"/>
        <w:pBdr>
          <w:top w:val="dotted" w:sz="6" w:space="17" w:color="auto"/>
          <w:left w:val="dotted" w:sz="6" w:space="17" w:color="auto"/>
          <w:bottom w:val="dotted" w:sz="6" w:space="17" w:color="auto"/>
          <w:right w:val="dotted" w:sz="6" w:space="17" w:color="auto"/>
        </w:pBdr>
        <w:rPr>
          <w:color w:val="222222"/>
          <w:sz w:val="21"/>
          <w:szCs w:val="21"/>
          <w:lang w:val="sq-AL"/>
        </w:rPr>
      </w:pPr>
      <w:r w:rsidRPr="00C5039E">
        <w:rPr>
          <w:color w:val="222222"/>
          <w:sz w:val="21"/>
          <w:szCs w:val="21"/>
          <w:lang w:val="sq-AL"/>
        </w:rPr>
        <w:br/>
        <w:t xml:space="preserve">MVHLTPEEKS AVTALWGKVN VDEVGGEALG RLLVVYPWTQ RFFESFGDLS </w:t>
      </w:r>
      <w:r w:rsidRPr="00C5039E">
        <w:rPr>
          <w:color w:val="222222"/>
          <w:sz w:val="21"/>
          <w:szCs w:val="21"/>
          <w:lang w:val="sq-AL"/>
        </w:rPr>
        <w:br/>
        <w:t xml:space="preserve">TPDAVMGNPK VKAHGKKVLG AFSDGLAHLD NLKGTFATLS ELHCDKLHVD </w:t>
      </w:r>
      <w:r w:rsidRPr="00C5039E">
        <w:rPr>
          <w:color w:val="222222"/>
          <w:sz w:val="21"/>
          <w:szCs w:val="21"/>
          <w:lang w:val="sq-AL"/>
        </w:rPr>
        <w:br/>
        <w:t xml:space="preserve">PENFRLLGNV LVCVLAHHFG KEFTPPVQAA YQKVVAGVAN ALAHKYH </w:t>
      </w:r>
    </w:p>
    <w:p w14:paraId="450E3E82" w14:textId="17B526B4" w:rsidR="00C5039E" w:rsidRDefault="00C5039E">
      <w:pPr>
        <w:rPr>
          <w:lang w:val="sq-AL"/>
        </w:rPr>
      </w:pPr>
    </w:p>
    <w:p w14:paraId="5E78A161" w14:textId="6161B8C0" w:rsidR="00BD50E3" w:rsidRDefault="00BD50E3">
      <w:pPr>
        <w:rPr>
          <w:lang w:val="sq-AL"/>
        </w:rPr>
      </w:pPr>
      <w:r>
        <w:rPr>
          <w:lang w:val="sq-AL"/>
        </w:rPr>
        <w:t>Aufgabe 3</w:t>
      </w:r>
    </w:p>
    <w:p w14:paraId="2BC85CEA" w14:textId="77777777" w:rsidR="00BD50E3" w:rsidRPr="00BD50E3" w:rsidRDefault="00BD50E3" w:rsidP="00BD50E3">
      <w:pPr>
        <w:rPr>
          <w:b/>
        </w:rPr>
      </w:pPr>
      <w:r w:rsidRPr="00BD50E3">
        <w:rPr>
          <w:b/>
        </w:rPr>
        <w:t>Unterschied zwischen einem globalen Sequenz-Alignment und einem lokalen Sequenz-Alignment</w:t>
      </w:r>
    </w:p>
    <w:p w14:paraId="40A13907" w14:textId="77777777" w:rsidR="00BD50E3" w:rsidRPr="00BD50E3" w:rsidRDefault="00BD50E3" w:rsidP="00BD50E3">
      <w:pPr>
        <w:rPr>
          <w:b/>
        </w:rPr>
      </w:pPr>
      <w:r w:rsidRPr="00BD50E3">
        <w:rPr>
          <w:b/>
        </w:rPr>
        <w:t>Global Sequenz Alignment</w:t>
      </w:r>
    </w:p>
    <w:p w14:paraId="041587FB" w14:textId="77777777" w:rsidR="00BD50E3" w:rsidRPr="00BD50E3" w:rsidRDefault="00BD50E3" w:rsidP="00BD50E3">
      <w:r w:rsidRPr="00BD50E3">
        <w:t>In einem globalen Sequenz-Alignment wird die komplette Sequenz total von Anfang bis zum Ende auf die Gemeinsamkeiten mit der anderen Sequenz analysiert. Die Länge der vergleichbaren Sequenzen sollte idealerweise gleich groß für ein globales Alignment sein. Normalerweise werden die homologen Gene mit der gleichen Funktion (z.B. von einem Maus und dem Menschen) oder zwei Proteine mit der ähnlichen Funktion miteinander verglichen. Das globale Sequenz-Alignment wird auch als Needleman-Wunsch Algorithmus bezeichnet.</w:t>
      </w:r>
    </w:p>
    <w:p w14:paraId="490E51C5" w14:textId="77777777" w:rsidR="00BD50E3" w:rsidRPr="00BD50E3" w:rsidRDefault="00BD50E3" w:rsidP="00BD50E3">
      <w:pPr>
        <w:rPr>
          <w:b/>
        </w:rPr>
      </w:pPr>
      <w:r w:rsidRPr="00BD50E3">
        <w:rPr>
          <w:b/>
        </w:rPr>
        <w:t>Local Sequenz Alignment</w:t>
      </w:r>
    </w:p>
    <w:p w14:paraId="4563C523" w14:textId="77777777" w:rsidR="00BD50E3" w:rsidRPr="00BD50E3" w:rsidRDefault="00BD50E3" w:rsidP="00BD50E3">
      <w:r w:rsidRPr="00BD50E3">
        <w:t>In einem lokalen Sequenz-Alignment bindet ein Query Motiv an seinen Target. Hier kann man die höchste Wahrscheinlichkeit an einer Insertion oder Deletion finden, weil die Sequenz an einem bestimmten Ort durchsucht wird. Die anderen Regionen vom Target können dann vernachlässigt werden, da Target größer ist als sein Query.</w:t>
      </w:r>
    </w:p>
    <w:p w14:paraId="1F8EB000" w14:textId="77777777" w:rsidR="00BD50E3" w:rsidRPr="00C0585E" w:rsidRDefault="00BD50E3" w:rsidP="00BD50E3">
      <w:pPr>
        <w:rPr>
          <w:sz w:val="32"/>
          <w:szCs w:val="32"/>
        </w:rPr>
      </w:pPr>
    </w:p>
    <w:p w14:paraId="54D3EE17" w14:textId="77777777" w:rsidR="00BD50E3" w:rsidRPr="00BD50E3" w:rsidRDefault="00BD50E3"/>
    <w:p w14:paraId="15833AA4" w14:textId="77777777" w:rsidR="00AF3E2B" w:rsidRDefault="00AF3E2B">
      <w:pPr>
        <w:rPr>
          <w:lang w:val="sq-AL"/>
        </w:rPr>
      </w:pPr>
    </w:p>
    <w:p w14:paraId="0B23C997" w14:textId="77777777" w:rsidR="00AF3E2B" w:rsidRDefault="00AF3E2B">
      <w:pPr>
        <w:rPr>
          <w:lang w:val="sq-AL"/>
        </w:rPr>
      </w:pPr>
    </w:p>
    <w:p w14:paraId="57C51976" w14:textId="77777777" w:rsidR="00AF3E2B" w:rsidRDefault="00AF3E2B">
      <w:pPr>
        <w:rPr>
          <w:lang w:val="sq-AL"/>
        </w:rPr>
      </w:pPr>
    </w:p>
    <w:p w14:paraId="1525D214" w14:textId="77777777" w:rsidR="00AF3E2B" w:rsidRDefault="00AF3E2B">
      <w:pPr>
        <w:rPr>
          <w:lang w:val="sq-AL"/>
        </w:rPr>
      </w:pPr>
    </w:p>
    <w:p w14:paraId="7BBC7765" w14:textId="77777777" w:rsidR="00AF3E2B" w:rsidRDefault="00AF3E2B">
      <w:pPr>
        <w:rPr>
          <w:lang w:val="sq-AL"/>
        </w:rPr>
      </w:pPr>
    </w:p>
    <w:p w14:paraId="1B9A7A32" w14:textId="7FA07DE2" w:rsidR="00AF3E2B" w:rsidRDefault="00AF3E2B">
      <w:pPr>
        <w:rPr>
          <w:lang w:val="sq-AL"/>
        </w:rPr>
      </w:pPr>
      <w:bookmarkStart w:id="0" w:name="_GoBack"/>
      <w:bookmarkEnd w:id="0"/>
      <w:r>
        <w:rPr>
          <w:lang w:val="sq-AL"/>
        </w:rPr>
        <w:lastRenderedPageBreak/>
        <w:t>Aufgabe 4</w:t>
      </w:r>
    </w:p>
    <w:p w14:paraId="02B2BE19" w14:textId="06E31339" w:rsidR="00AF3E2B" w:rsidRDefault="00AF3E2B">
      <w:pPr>
        <w:rPr>
          <w:lang w:val="sq-AL"/>
        </w:rPr>
      </w:pPr>
      <w:r>
        <w:rPr>
          <w:lang w:val="sq-AL"/>
        </w:rPr>
        <w:t>a.</w:t>
      </w:r>
    </w:p>
    <w:p w14:paraId="182C0448" w14:textId="0BE9FF74" w:rsidR="00DD0B5F" w:rsidRDefault="00AF3E2B">
      <w:pPr>
        <w:rPr>
          <w:lang w:val="sq-AL"/>
        </w:rPr>
      </w:pPr>
      <w:r>
        <w:rPr>
          <w:lang w:eastAsia="de-DE"/>
        </w:rPr>
        <w:drawing>
          <wp:inline distT="0" distB="0" distL="0" distR="0" wp14:anchorId="3F33564D" wp14:editId="6515B373">
            <wp:extent cx="5400000" cy="2781290"/>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1.PNG"/>
                    <pic:cNvPicPr/>
                  </pic:nvPicPr>
                  <pic:blipFill>
                    <a:blip r:embed="rId7">
                      <a:extLst>
                        <a:ext uri="{28A0092B-C50C-407E-A947-70E740481C1C}">
                          <a14:useLocalDpi xmlns:a14="http://schemas.microsoft.com/office/drawing/2010/main" val="0"/>
                        </a:ext>
                      </a:extLst>
                    </a:blip>
                    <a:stretch>
                      <a:fillRect/>
                    </a:stretch>
                  </pic:blipFill>
                  <pic:spPr>
                    <a:xfrm>
                      <a:off x="0" y="0"/>
                      <a:ext cx="5400000" cy="2781290"/>
                    </a:xfrm>
                    <a:prstGeom prst="rect">
                      <a:avLst/>
                    </a:prstGeom>
                  </pic:spPr>
                </pic:pic>
              </a:graphicData>
            </a:graphic>
          </wp:inline>
        </w:drawing>
      </w:r>
    </w:p>
    <w:p w14:paraId="449D1142" w14:textId="1D5CCBDF" w:rsidR="00DD0B5F" w:rsidRDefault="00DD0B5F">
      <w:r>
        <w:rPr>
          <w:lang w:val="sq-AL"/>
        </w:rPr>
        <w:t xml:space="preserve">Abb.1. </w:t>
      </w:r>
      <w:r>
        <w:t xml:space="preserve">Globales Alignment mit voreingestellten Parametern </w:t>
      </w:r>
    </w:p>
    <w:p w14:paraId="0C05F3F8" w14:textId="48517B24" w:rsidR="00DD0B5F" w:rsidRDefault="00DD0B5F">
      <w:r>
        <w:rPr>
          <w:lang w:eastAsia="de-DE"/>
        </w:rPr>
        <w:drawing>
          <wp:inline distT="0" distB="0" distL="0" distR="0" wp14:anchorId="78EDF422" wp14:editId="19D05863">
            <wp:extent cx="5400000" cy="396245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2.PNG"/>
                    <pic:cNvPicPr/>
                  </pic:nvPicPr>
                  <pic:blipFill>
                    <a:blip r:embed="rId8">
                      <a:extLst>
                        <a:ext uri="{28A0092B-C50C-407E-A947-70E740481C1C}">
                          <a14:useLocalDpi xmlns:a14="http://schemas.microsoft.com/office/drawing/2010/main" val="0"/>
                        </a:ext>
                      </a:extLst>
                    </a:blip>
                    <a:stretch>
                      <a:fillRect/>
                    </a:stretch>
                  </pic:blipFill>
                  <pic:spPr>
                    <a:xfrm>
                      <a:off x="0" y="0"/>
                      <a:ext cx="5400000" cy="3962458"/>
                    </a:xfrm>
                    <a:prstGeom prst="rect">
                      <a:avLst/>
                    </a:prstGeom>
                  </pic:spPr>
                </pic:pic>
              </a:graphicData>
            </a:graphic>
          </wp:inline>
        </w:drawing>
      </w:r>
    </w:p>
    <w:p w14:paraId="55CFE77C" w14:textId="77777777" w:rsidR="00DD0B5F" w:rsidRDefault="00DD0B5F">
      <w:r>
        <w:t xml:space="preserve">Abb.2. Globales Alignment mit einer anderen Substitution MATRIX </w:t>
      </w:r>
    </w:p>
    <w:p w14:paraId="4951EE97" w14:textId="5D9AB288" w:rsidR="00DD0B5F" w:rsidRDefault="00DD0B5F">
      <w:r>
        <w:rPr>
          <w:lang w:eastAsia="de-DE"/>
        </w:rPr>
        <w:lastRenderedPageBreak/>
        <w:drawing>
          <wp:inline distT="0" distB="0" distL="0" distR="0" wp14:anchorId="12BFE121" wp14:editId="61AABE4A">
            <wp:extent cx="5400000" cy="3939796"/>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3.PNG"/>
                    <pic:cNvPicPr/>
                  </pic:nvPicPr>
                  <pic:blipFill>
                    <a:blip r:embed="rId9">
                      <a:extLst>
                        <a:ext uri="{28A0092B-C50C-407E-A947-70E740481C1C}">
                          <a14:useLocalDpi xmlns:a14="http://schemas.microsoft.com/office/drawing/2010/main" val="0"/>
                        </a:ext>
                      </a:extLst>
                    </a:blip>
                    <a:stretch>
                      <a:fillRect/>
                    </a:stretch>
                  </pic:blipFill>
                  <pic:spPr>
                    <a:xfrm>
                      <a:off x="0" y="0"/>
                      <a:ext cx="5400000" cy="3939796"/>
                    </a:xfrm>
                    <a:prstGeom prst="rect">
                      <a:avLst/>
                    </a:prstGeom>
                  </pic:spPr>
                </pic:pic>
              </a:graphicData>
            </a:graphic>
          </wp:inline>
        </w:drawing>
      </w:r>
    </w:p>
    <w:p w14:paraId="7F695D63" w14:textId="68DB8A34" w:rsidR="00DD0B5F" w:rsidRDefault="00DD0B5F">
      <w:r>
        <w:t xml:space="preserve">Abb.3. Globales Alignment mit einer anderen GAP OPEN penalty </w:t>
      </w:r>
    </w:p>
    <w:p w14:paraId="011A7A03" w14:textId="50527C67" w:rsidR="00DD0B5F" w:rsidRDefault="00DD0B5F">
      <w:r>
        <w:rPr>
          <w:lang w:eastAsia="de-DE"/>
        </w:rPr>
        <w:drawing>
          <wp:inline distT="0" distB="0" distL="0" distR="0" wp14:anchorId="077B5F9A" wp14:editId="376B26BD">
            <wp:extent cx="5400000" cy="3802615"/>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4.PNG"/>
                    <pic:cNvPicPr/>
                  </pic:nvPicPr>
                  <pic:blipFill>
                    <a:blip r:embed="rId10">
                      <a:extLst>
                        <a:ext uri="{28A0092B-C50C-407E-A947-70E740481C1C}">
                          <a14:useLocalDpi xmlns:a14="http://schemas.microsoft.com/office/drawing/2010/main" val="0"/>
                        </a:ext>
                      </a:extLst>
                    </a:blip>
                    <a:stretch>
                      <a:fillRect/>
                    </a:stretch>
                  </pic:blipFill>
                  <pic:spPr>
                    <a:xfrm>
                      <a:off x="0" y="0"/>
                      <a:ext cx="5400000" cy="3802615"/>
                    </a:xfrm>
                    <a:prstGeom prst="rect">
                      <a:avLst/>
                    </a:prstGeom>
                  </pic:spPr>
                </pic:pic>
              </a:graphicData>
            </a:graphic>
          </wp:inline>
        </w:drawing>
      </w:r>
    </w:p>
    <w:p w14:paraId="5C2192C8" w14:textId="24B9E1B3" w:rsidR="00DD0B5F" w:rsidRDefault="00DD0B5F">
      <w:r>
        <w:t>Abb.4. Lokales Alignment mit voreingestellten Parametern</w:t>
      </w:r>
    </w:p>
    <w:p w14:paraId="0A145CFB" w14:textId="5E300BB2" w:rsidR="00DD0B5F" w:rsidRDefault="00DD0B5F">
      <w:pPr>
        <w:rPr>
          <w:lang w:val="sq-AL"/>
        </w:rPr>
      </w:pPr>
    </w:p>
    <w:p w14:paraId="777EEFC9" w14:textId="5BC1EE40" w:rsidR="004471E6" w:rsidRDefault="004471E6">
      <w:pPr>
        <w:rPr>
          <w:lang w:val="sq-AL"/>
        </w:rPr>
      </w:pPr>
      <w:r>
        <w:rPr>
          <w:lang w:val="sq-AL"/>
        </w:rPr>
        <w:lastRenderedPageBreak/>
        <w:t>a.)</w:t>
      </w:r>
    </w:p>
    <w:p w14:paraId="743D843A" w14:textId="44026603" w:rsidR="00FB1846" w:rsidRDefault="00FB1846">
      <w:pPr>
        <w:rPr>
          <w:lang w:val="sq-AL"/>
        </w:rPr>
      </w:pPr>
      <w:r>
        <w:rPr>
          <w:lang w:eastAsia="de-DE"/>
        </w:rPr>
        <w:drawing>
          <wp:inline distT="0" distB="0" distL="0" distR="0" wp14:anchorId="49D1921D" wp14:editId="5DAB14A2">
            <wp:extent cx="5731510" cy="302260"/>
            <wp:effectExtent l="0" t="0" r="2540"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t 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02260"/>
                    </a:xfrm>
                    <a:prstGeom prst="rect">
                      <a:avLst/>
                    </a:prstGeom>
                  </pic:spPr>
                </pic:pic>
              </a:graphicData>
            </a:graphic>
          </wp:inline>
        </w:drawing>
      </w:r>
      <w:r>
        <w:rPr>
          <w:lang w:eastAsia="de-DE"/>
        </w:rPr>
        <w:drawing>
          <wp:inline distT="0" distB="0" distL="0" distR="0" wp14:anchorId="1F89530E" wp14:editId="428B68AB">
            <wp:extent cx="5731510" cy="324485"/>
            <wp:effectExtent l="0" t="0" r="254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t 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4485"/>
                    </a:xfrm>
                    <a:prstGeom prst="rect">
                      <a:avLst/>
                    </a:prstGeom>
                  </pic:spPr>
                </pic:pic>
              </a:graphicData>
            </a:graphic>
          </wp:inline>
        </w:drawing>
      </w:r>
      <w:r>
        <w:rPr>
          <w:lang w:eastAsia="de-DE"/>
        </w:rPr>
        <w:drawing>
          <wp:inline distT="0" distB="0" distL="0" distR="0" wp14:anchorId="5023AE06" wp14:editId="6F6D0269">
            <wp:extent cx="5731510" cy="294640"/>
            <wp:effectExtent l="0" t="0" r="254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rt 3.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94640"/>
                    </a:xfrm>
                    <a:prstGeom prst="rect">
                      <a:avLst/>
                    </a:prstGeom>
                  </pic:spPr>
                </pic:pic>
              </a:graphicData>
            </a:graphic>
          </wp:inline>
        </w:drawing>
      </w:r>
    </w:p>
    <w:p w14:paraId="2B106246" w14:textId="4070CA39" w:rsidR="00FB1846" w:rsidRDefault="00FB1846">
      <w:pPr>
        <w:rPr>
          <w:lang w:val="sq-AL"/>
        </w:rPr>
      </w:pPr>
      <w:r>
        <w:rPr>
          <w:lang w:val="sq-AL"/>
        </w:rPr>
        <w:t>Abb.5.  Allignment von Human Hemoglobin subunit alpha  und beta aus Vorlesung</w:t>
      </w:r>
    </w:p>
    <w:p w14:paraId="448CF80C" w14:textId="219BCE60" w:rsidR="00BA2823" w:rsidRDefault="00FB1846" w:rsidP="004471E6">
      <w:pPr>
        <w:rPr>
          <w:lang w:val="sq-AL"/>
        </w:rPr>
      </w:pPr>
      <w:r>
        <w:rPr>
          <w:lang w:val="sq-AL"/>
        </w:rPr>
        <w:t>Im Vergleich zu den Sequenz von Vorlesung und aus dem Such Tool sehen wir</w:t>
      </w:r>
      <w:r w:rsidR="00030D2F">
        <w:rPr>
          <w:lang w:val="sq-AL"/>
        </w:rPr>
        <w:t xml:space="preserve"> den Unterschied von Anfang, wo es in der zehnte Stelle der Beta Sequenz eine Insertion gibt und deshalb sind allen Basen eine Stelle vor verschoben.</w:t>
      </w:r>
      <w:r w:rsidR="00FA1D83">
        <w:rPr>
          <w:lang w:val="sq-AL"/>
        </w:rPr>
        <w:t xml:space="preserve"> Die Anzahl der Deletion ist sogar mehr in die Sequenz aus Vorlesung als der gedruckte.</w:t>
      </w:r>
    </w:p>
    <w:p w14:paraId="39DDED62" w14:textId="77777777" w:rsidR="004471E6" w:rsidRDefault="004471E6" w:rsidP="004471E6">
      <w:pPr>
        <w:rPr>
          <w:lang w:val="sq-AL"/>
        </w:rPr>
      </w:pPr>
      <w:r>
        <w:rPr>
          <w:lang w:val="sq-AL"/>
        </w:rPr>
        <w:t>b.)</w:t>
      </w:r>
    </w:p>
    <w:p w14:paraId="2247AE17" w14:textId="11E8A42B" w:rsidR="004471E6" w:rsidRDefault="004471E6" w:rsidP="004471E6">
      <w:pPr>
        <w:rPr>
          <w:u w:val="single"/>
          <w:lang w:val="sq-AL"/>
        </w:rPr>
      </w:pPr>
      <w:r w:rsidRPr="004471E6">
        <w:rPr>
          <w:u w:val="single"/>
          <w:lang w:val="sq-AL"/>
        </w:rPr>
        <w:t>Substitutionsmatrix</w:t>
      </w:r>
    </w:p>
    <w:p w14:paraId="0EC25C98" w14:textId="5830AD63" w:rsidR="00BA2823" w:rsidRDefault="004471E6" w:rsidP="00BA2823">
      <w:pPr>
        <w:rPr>
          <w:lang w:val="sq-AL"/>
        </w:rPr>
      </w:pPr>
      <w:r>
        <w:rPr>
          <w:lang w:val="sq-AL"/>
        </w:rPr>
        <w:t xml:space="preserve">Gibt die Rate und die Wahrscheinlichkeit  an, mit welcher eine Aminosäure in eine andere mutieren/umwandeln kann. Es wird dazu verwendet, um einem bestimmten Alignment einen Score (Wahrscheinlichkeit an die Matches) zuzuordnen und zu bestimmen, wie gut das Alignment ist. Mit Blosum62 </w:t>
      </w:r>
      <w:r w:rsidR="00BD50E3">
        <w:rPr>
          <w:lang w:val="sq-AL"/>
        </w:rPr>
        <w:t>wird am häufigsten dazu benutzt, weil sein Score am höchsten ist.</w:t>
      </w:r>
    </w:p>
    <w:p w14:paraId="267244CF" w14:textId="0A483E3A" w:rsidR="004471E6" w:rsidRDefault="004471E6" w:rsidP="00BA2823">
      <w:pPr>
        <w:rPr>
          <w:lang w:val="sq-AL"/>
        </w:rPr>
      </w:pPr>
      <w:r w:rsidRPr="004471E6">
        <w:rPr>
          <w:lang w:val="sq-AL"/>
        </w:rPr>
        <w:t>https://de.wikipedia.org/wiki/Substitutionsmatrix</w:t>
      </w:r>
    </w:p>
    <w:p w14:paraId="24949FA1" w14:textId="77777777" w:rsidR="00BA2823" w:rsidRPr="004471E6" w:rsidRDefault="00BA2823" w:rsidP="00BA2823">
      <w:pPr>
        <w:rPr>
          <w:lang w:val="sq-AL"/>
        </w:rPr>
      </w:pPr>
    </w:p>
    <w:p w14:paraId="53A4C2AE" w14:textId="3AE17CD6" w:rsidR="00BA2823" w:rsidRPr="004471E6" w:rsidRDefault="00BA2823" w:rsidP="00FB1846">
      <w:pPr>
        <w:rPr>
          <w:u w:val="single"/>
        </w:rPr>
      </w:pPr>
      <w:r w:rsidRPr="004471E6">
        <w:rPr>
          <w:u w:val="single"/>
        </w:rPr>
        <w:t>Gap Penalty</w:t>
      </w:r>
    </w:p>
    <w:p w14:paraId="5DC22E9F" w14:textId="72CD7C2D" w:rsidR="00BA2823" w:rsidRPr="00BA2823" w:rsidRDefault="00BA2823" w:rsidP="00FB1846">
      <w:r w:rsidRPr="00BA2823">
        <w:t xml:space="preserve">Mit </w:t>
      </w:r>
      <w:r>
        <w:t>Gap Penalty Tool führt man die Deletionen ein. Damit wird versucht, die Anzahl an besten Matches zwischen den Basen/Aminosäuren zu erhöhen. Durch die Deletion ändern die verbleibenden Basen/Aminosäuren ihre Position, wodurch neue Matches entstehen und der Score wird dadurch verbessert.</w:t>
      </w:r>
    </w:p>
    <w:sectPr w:rsidR="00BA2823" w:rsidRPr="00BA2823" w:rsidSect="00F36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Arial"/>
    <w:charset w:val="00"/>
    <w:family w:val="swiss"/>
    <w:pitch w:val="variable"/>
    <w:sig w:usb0="00000000" w:usb1="4000207B"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1666A"/>
    <w:multiLevelType w:val="hybridMultilevel"/>
    <w:tmpl w:val="C9067F00"/>
    <w:lvl w:ilvl="0" w:tplc="8DBE5E5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6A535265"/>
    <w:multiLevelType w:val="hybridMultilevel"/>
    <w:tmpl w:val="2816215A"/>
    <w:lvl w:ilvl="0" w:tplc="9562493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8F9"/>
    <w:rsid w:val="00030D2F"/>
    <w:rsid w:val="000968F9"/>
    <w:rsid w:val="00105FCB"/>
    <w:rsid w:val="004471E6"/>
    <w:rsid w:val="005F7E54"/>
    <w:rsid w:val="00656EA4"/>
    <w:rsid w:val="0071326F"/>
    <w:rsid w:val="007F0510"/>
    <w:rsid w:val="008C0F9A"/>
    <w:rsid w:val="00AF3E2B"/>
    <w:rsid w:val="00B23C6A"/>
    <w:rsid w:val="00BA2823"/>
    <w:rsid w:val="00BD50E3"/>
    <w:rsid w:val="00C5039E"/>
    <w:rsid w:val="00D31AEA"/>
    <w:rsid w:val="00D52C19"/>
    <w:rsid w:val="00DD0B5F"/>
    <w:rsid w:val="00F3608E"/>
    <w:rsid w:val="00FA1D83"/>
    <w:rsid w:val="00FB1846"/>
    <w:rsid w:val="00FD78C0"/>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9F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C5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de-DE"/>
    </w:rPr>
  </w:style>
  <w:style w:type="character" w:customStyle="1" w:styleId="HTML0">
    <w:name w:val="Стандартный HTML Знак"/>
    <w:basedOn w:val="a0"/>
    <w:link w:val="HTML"/>
    <w:uiPriority w:val="99"/>
    <w:semiHidden/>
    <w:rsid w:val="00C5039E"/>
    <w:rPr>
      <w:rFonts w:ascii="Courier New" w:eastAsia="Times New Roman" w:hAnsi="Courier New" w:cs="Courier New"/>
      <w:sz w:val="20"/>
      <w:szCs w:val="20"/>
      <w:lang w:eastAsia="de-DE"/>
    </w:rPr>
  </w:style>
  <w:style w:type="paragraph" w:styleId="a3">
    <w:name w:val="Balloon Text"/>
    <w:basedOn w:val="a"/>
    <w:link w:val="a4"/>
    <w:uiPriority w:val="99"/>
    <w:semiHidden/>
    <w:unhideWhenUsed/>
    <w:rsid w:val="00BA282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A2823"/>
    <w:rPr>
      <w:rFonts w:ascii="Tahoma" w:hAnsi="Tahoma" w:cs="Tahoma"/>
      <w:noProof/>
      <w:sz w:val="16"/>
      <w:szCs w:val="16"/>
    </w:rPr>
  </w:style>
  <w:style w:type="paragraph" w:styleId="a5">
    <w:name w:val="List Paragraph"/>
    <w:basedOn w:val="a"/>
    <w:uiPriority w:val="34"/>
    <w:qFormat/>
    <w:rsid w:val="00BA2823"/>
    <w:pPr>
      <w:ind w:left="720"/>
      <w:contextualSpacing/>
    </w:pPr>
  </w:style>
  <w:style w:type="character" w:styleId="a6">
    <w:name w:val="Hyperlink"/>
    <w:basedOn w:val="a0"/>
    <w:uiPriority w:val="99"/>
    <w:unhideWhenUsed/>
    <w:rsid w:val="004471E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C50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de-DE"/>
    </w:rPr>
  </w:style>
  <w:style w:type="character" w:customStyle="1" w:styleId="HTML0">
    <w:name w:val="Стандартный HTML Знак"/>
    <w:basedOn w:val="a0"/>
    <w:link w:val="HTML"/>
    <w:uiPriority w:val="99"/>
    <w:semiHidden/>
    <w:rsid w:val="00C5039E"/>
    <w:rPr>
      <w:rFonts w:ascii="Courier New" w:eastAsia="Times New Roman" w:hAnsi="Courier New" w:cs="Courier New"/>
      <w:sz w:val="20"/>
      <w:szCs w:val="20"/>
      <w:lang w:eastAsia="de-DE"/>
    </w:rPr>
  </w:style>
  <w:style w:type="paragraph" w:styleId="a3">
    <w:name w:val="Balloon Text"/>
    <w:basedOn w:val="a"/>
    <w:link w:val="a4"/>
    <w:uiPriority w:val="99"/>
    <w:semiHidden/>
    <w:unhideWhenUsed/>
    <w:rsid w:val="00BA282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A2823"/>
    <w:rPr>
      <w:rFonts w:ascii="Tahoma" w:hAnsi="Tahoma" w:cs="Tahoma"/>
      <w:noProof/>
      <w:sz w:val="16"/>
      <w:szCs w:val="16"/>
    </w:rPr>
  </w:style>
  <w:style w:type="paragraph" w:styleId="a5">
    <w:name w:val="List Paragraph"/>
    <w:basedOn w:val="a"/>
    <w:uiPriority w:val="34"/>
    <w:qFormat/>
    <w:rsid w:val="00BA2823"/>
    <w:pPr>
      <w:ind w:left="720"/>
      <w:contextualSpacing/>
    </w:pPr>
  </w:style>
  <w:style w:type="character" w:styleId="a6">
    <w:name w:val="Hyperlink"/>
    <w:basedOn w:val="a0"/>
    <w:uiPriority w:val="99"/>
    <w:unhideWhenUsed/>
    <w:rsid w:val="004471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472203">
      <w:bodyDiv w:val="1"/>
      <w:marLeft w:val="0"/>
      <w:marRight w:val="0"/>
      <w:marTop w:val="0"/>
      <w:marBottom w:val="0"/>
      <w:divBdr>
        <w:top w:val="none" w:sz="0" w:space="0" w:color="auto"/>
        <w:left w:val="none" w:sz="0" w:space="0" w:color="auto"/>
        <w:bottom w:val="none" w:sz="0" w:space="0" w:color="auto"/>
        <w:right w:val="none" w:sz="0" w:space="0" w:color="auto"/>
      </w:divBdr>
    </w:div>
    <w:div w:id="1225411883">
      <w:bodyDiv w:val="1"/>
      <w:marLeft w:val="0"/>
      <w:marRight w:val="0"/>
      <w:marTop w:val="0"/>
      <w:marBottom w:val="0"/>
      <w:divBdr>
        <w:top w:val="none" w:sz="0" w:space="0" w:color="auto"/>
        <w:left w:val="none" w:sz="0" w:space="0" w:color="auto"/>
        <w:bottom w:val="none" w:sz="0" w:space="0" w:color="auto"/>
        <w:right w:val="none" w:sz="0" w:space="0" w:color="auto"/>
      </w:divBdr>
    </w:div>
    <w:div w:id="1254315094">
      <w:bodyDiv w:val="1"/>
      <w:marLeft w:val="0"/>
      <w:marRight w:val="0"/>
      <w:marTop w:val="0"/>
      <w:marBottom w:val="0"/>
      <w:divBdr>
        <w:top w:val="none" w:sz="0" w:space="0" w:color="auto"/>
        <w:left w:val="none" w:sz="0" w:space="0" w:color="auto"/>
        <w:bottom w:val="none" w:sz="0" w:space="0" w:color="auto"/>
        <w:right w:val="none" w:sz="0" w:space="0" w:color="auto"/>
      </w:divBdr>
    </w:div>
    <w:div w:id="196562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F8610-6F59-46D6-BDC4-CA48334C6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391</Words>
  <Characters>2466</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
      <vt:lpstr/>
    </vt:vector>
  </TitlesOfParts>
  <Company>SPecialiST RePack</Company>
  <LinksUpToDate>false</LinksUpToDate>
  <CharactersWithSpaces>2852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kushal</dc:creator>
  <cp:lastModifiedBy>User</cp:lastModifiedBy>
  <cp:revision>2</cp:revision>
  <dcterms:created xsi:type="dcterms:W3CDTF">2018-07-10T17:56:00Z</dcterms:created>
  <dcterms:modified xsi:type="dcterms:W3CDTF">2018-07-10T17:56:00Z</dcterms:modified>
</cp:coreProperties>
</file>