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24"/>
          <w:color w:val="000000"/>
          <w:b w:val="on"/>
        </w:rPr>
        <w:t>АКТ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>выполненных работ №231 к накладным: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 xml:space="preserve">wae	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г. Минск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2023-01-01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Настоящий акт составлен комиссией в составе: председателя комиссии Директора ООО «ВторТехУтилизация» Морякова Д.В. и члена комиссии − технического специалиста Д.М. Никипоронка, о том, что ООО «ВторТехУтилизация» выполнены работы по демонтажу (разборке), сортировке по видам отходов и подготовке к передаче отходов для окончательной утилизации, согласно следующей таблице: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Вид отходов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Кол-во переработанных отходов, шт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за 1 штуку, руб (без НДС)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всего, руб (без НДС)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крупногабаритного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25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среднегабаритного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мелкогабаритного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(аксессуары)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TV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Итого: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 Всего переработано: 25 единиц бытовой техники на сумму: 0.0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Замечаний к оказанию услуг Заказчик не имеет.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2023-11-06T15:28:12Z</dcterms:created>
  <dc:creator>Apache POI</dc:creator>
</cp:coreProperties>
</file>