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24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66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Кибербезопасность предприятия</w:t>
      </w:r>
    </w:p>
    <w:p>
      <w:pPr>
        <w:pStyle w:val="Author"/>
      </w:pPr>
      <w:r>
        <w:t xml:space="preserve">Пронякова Ольга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Захватить контроллер домена с помощью флага путем получения доступа во внутреннюю сеть.</w:t>
      </w:r>
    </w:p>
    <w:bookmarkEnd w:id="20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69" w:name="X2f2a6f541be81c4f113d6822243195ff335f44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 Получение meterpreter-сессии с корпоративным сайтом</w:t>
      </w:r>
    </w:p>
    <w:p>
      <w:pPr>
        <w:pStyle w:val="FirstParagraph"/>
      </w:pPr>
      <w:r>
        <w:t xml:space="preserve">С помощью модуля wp_wpdiscuz_unauthenticated_file_upload и команды options получили параметры модуля (рис. 1).</w:t>
      </w:r>
    </w:p>
    <w:p>
      <w:pPr>
        <w:pStyle w:val="CaptionedFigure"/>
      </w:pPr>
      <w:r>
        <w:drawing>
          <wp:inline>
            <wp:extent cx="5334000" cy="4722553"/>
            <wp:effectExtent b="0" l="0" r="0" t="0"/>
            <wp:docPr descr="Параметры модуля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2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модуля</w:t>
      </w:r>
    </w:p>
    <w:p>
      <w:pPr>
        <w:pStyle w:val="BodyText"/>
      </w:pPr>
      <w:r>
        <w:t xml:space="preserve">Настроили и запустили meterpreter-сессию с корпоративным сайтом с помощью того же модуля wp_wpdiscuz_unauthenticated_file_upload (рис. 2).</w:t>
      </w:r>
    </w:p>
    <w:p>
      <w:pPr>
        <w:pStyle w:val="CaptionedFigure"/>
      </w:pPr>
      <w:r>
        <w:drawing>
          <wp:inline>
            <wp:extent cx="5334000" cy="3886199"/>
            <wp:effectExtent b="0" l="0" r="0" t="0"/>
            <wp:docPr descr="Запуск сессии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сессии</w:t>
      </w:r>
    </w:p>
    <w:p>
      <w:pPr>
        <w:pStyle w:val="BodyText"/>
      </w:pPr>
      <w:r>
        <w:t xml:space="preserve">Свернули активную сессию с помощью команды background и просмотрели список активных сессий с помощью команды sessions. (рис. 3).</w:t>
      </w:r>
    </w:p>
    <w:p>
      <w:pPr>
        <w:pStyle w:val="CaptionedFigure"/>
      </w:pPr>
      <w:r>
        <w:drawing>
          <wp:inline>
            <wp:extent cx="5334000" cy="4196080"/>
            <wp:effectExtent b="0" l="0" r="0" t="0"/>
            <wp:docPr descr="Список активных сессий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активных сессий</w:t>
      </w:r>
    </w:p>
    <w:p>
      <w:pPr>
        <w:pStyle w:val="BodyText"/>
      </w:pPr>
      <w:r>
        <w:t xml:space="preserve">Мы получили сессию с корпоративным сайтом (модуль wordpress). Для успешного выполнения дальнейших операций с атакуемой машиной нам необходимо повысить текущую сессию. Для повышения сессии мы : свернули активную сессию с помощью команды background, прописали команду sessions -u 1; зашли в новую сессию sessions 2. (рис. 4).</w:t>
      </w:r>
    </w:p>
    <w:p>
      <w:pPr>
        <w:pStyle w:val="CaptionedFigure"/>
      </w:pPr>
      <w:r>
        <w:drawing>
          <wp:inline>
            <wp:extent cx="5334000" cy="4479407"/>
            <wp:effectExtent b="0" l="0" r="0" t="0"/>
            <wp:docPr descr="Повышение сессии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9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Повышение сессии</w:t>
      </w:r>
    </w:p>
    <w:p>
      <w:pPr>
        <w:pStyle w:val="BodyText"/>
      </w:pPr>
      <w:r>
        <w:t xml:space="preserve">Узнали, какие интерфейсы имеются на машине во внутренней сети, поиск выполнили в shell-оболочке с помощью команды ip a (рис. 5).</w:t>
      </w:r>
    </w:p>
    <w:p>
      <w:pPr>
        <w:pStyle w:val="CaptionedFigure"/>
      </w:pPr>
      <w:r>
        <w:drawing>
          <wp:inline>
            <wp:extent cx="5334000" cy="4598439"/>
            <wp:effectExtent b="0" l="0" r="0" t="0"/>
            <wp:docPr descr="Вход в оболочку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в оболочку</w:t>
      </w:r>
    </w:p>
    <w:p>
      <w:pPr>
        <w:pStyle w:val="BodyText"/>
      </w:pPr>
      <w:r>
        <w:t xml:space="preserve">Для продолжения атаки необходимо просканировать все доступные хосты во внутренней сети с помощью модуля Multi Gather Ping Sweep. Произошло сканирование внутренней сети организации и мы нашли все доступные хосты. Посмотрели ARP-таблицу на атакуемой машине с помощью команды arp в meterpreter-сессии. Поскольку целевой адрес атакуемого узла находится во внутренней подсети организации, то мы прописали маршрут до активной meterpreter-сессии. Далее выполнили проброс портов во внутреннюю сеть для дальнейшего выполнения команд через технику proxychains. Инструмент proxychains создает туннель через цепочку прокси-серверов и передает по данному туннелю пакет до адреса назначения. Для проброса портов во внутреннюю сеть использовали команду run autoroute -s 10.10.10.0/24 (рис. 6).</w:t>
      </w:r>
    </w:p>
    <w:p>
      <w:pPr>
        <w:pStyle w:val="CaptionedFigure"/>
      </w:pPr>
      <w:r>
        <w:drawing>
          <wp:inline>
            <wp:extent cx="5334000" cy="4841339"/>
            <wp:effectExtent b="0" l="0" r="0" t="0"/>
            <wp:docPr descr="Подброс портов во внутреннюю сеть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Подброс портов во внутреннюю сеть</w:t>
      </w:r>
    </w:p>
    <w:p>
      <w:pPr>
        <w:pStyle w:val="BodyText"/>
      </w:pPr>
      <w:r>
        <w:t xml:space="preserve">Далее необходимо просканировать доступные хосты во внутренней подсети на наличие открытых портов с использованием модуля nmap. Так как сканируемые машины находятся во внутренней сети, то в первую очередь необходимо настроить прокси, через который будут проходить все запросы при сканировании. Для этого нужно применить и настроить модуль metasploit auxiliary/server/socks_proxy. Мы выбрали, настроили и запустили модуль socks_proxy командами use auxiliary/server/socks_proxy ,</w:t>
      </w:r>
      <w:r>
        <w:t xml:space="preserve"> </w:t>
      </w:r>
      <w:r>
        <w:t xml:space="preserve">set srvhost 127.0.0.1</w:t>
      </w:r>
      <w:r>
        <w:t xml:space="preserve"> </w:t>
      </w:r>
      <w:r>
        <w:t xml:space="preserve">set srvport 1080</w:t>
      </w:r>
      <w:r>
        <w:t xml:space="preserve"> </w:t>
      </w:r>
      <w:r>
        <w:t xml:space="preserve">set version 5</w:t>
      </w:r>
      <w:r>
        <w:t xml:space="preserve"> </w:t>
      </w:r>
      <w:r>
        <w:t xml:space="preserve">run (рис. 7).</w:t>
      </w:r>
    </w:p>
    <w:p>
      <w:pPr>
        <w:pStyle w:val="CaptionedFigure"/>
      </w:pPr>
      <w:r>
        <w:drawing>
          <wp:inline>
            <wp:extent cx="5334000" cy="4814202"/>
            <wp:effectExtent b="0" l="0" r="0" t="0"/>
            <wp:docPr descr="Модуль socks_proxy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4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Модуль socks_proxy</w:t>
      </w:r>
    </w:p>
    <w:p>
      <w:pPr>
        <w:pStyle w:val="BodyText"/>
      </w:pPr>
      <w:r>
        <w:t xml:space="preserve">Настройка и запуск модуля (рис. 8).</w:t>
      </w:r>
    </w:p>
    <w:p>
      <w:pPr>
        <w:pStyle w:val="CaptionedFigure"/>
      </w:pPr>
      <w:r>
        <w:drawing>
          <wp:inline>
            <wp:extent cx="5334000" cy="4572000"/>
            <wp:effectExtent b="0" l="0" r="0" t="0"/>
            <wp:docPr descr="Jobs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Jobs</w:t>
      </w:r>
    </w:p>
    <w:p>
      <w:pPr>
        <w:pStyle w:val="BodyText"/>
      </w:pPr>
      <w:r>
        <w:t xml:space="preserve">Запустили сканирование 100 самых часто используемых портов с помощью команды proxychains nmap –n –sT –Pn –top-ports 100 (рис. 9).</w:t>
      </w:r>
    </w:p>
    <w:p>
      <w:pPr>
        <w:pStyle w:val="CaptionedFigure"/>
      </w:pPr>
      <w:r>
        <w:drawing>
          <wp:inline>
            <wp:extent cx="5334000" cy="3399873"/>
            <wp:effectExtent b="0" l="0" r="0" t="0"/>
            <wp:docPr descr="Сканирование портов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портов</w:t>
      </w:r>
    </w:p>
    <w:p>
      <w:pPr>
        <w:pStyle w:val="BodyText"/>
      </w:pPr>
      <w:r>
        <w:t xml:space="preserve">Для атаки на контроллер домена мы использовали Zerologon. Для проверки подверженности узла данной уязвимости можно использовать утилиту crackmapexec. В результате выполнения команды proxychains crackmapexec smb 10.10.10.20 -M zerologon можно узнать NetBIOS name атакуемой машины, в данном случае – это AD (рис. 10).</w:t>
      </w:r>
    </w:p>
    <w:p>
      <w:pPr>
        <w:pStyle w:val="CaptionedFigure"/>
      </w:pPr>
      <w:r>
        <w:drawing>
          <wp:inline>
            <wp:extent cx="5334000" cy="4930723"/>
            <wp:effectExtent b="0" l="0" r="0" t="0"/>
            <wp:docPr descr="NetBIOS name атакуемой машины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0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NetBIOS name атакуемой машины</w:t>
      </w:r>
    </w:p>
    <w:p>
      <w:pPr>
        <w:pStyle w:val="BodyText"/>
      </w:pPr>
      <w:r>
        <w:t xml:space="preserve">Сбросили пароль от системной учетной записи администратора контроллера домена (рис. 20).</w:t>
      </w:r>
    </w:p>
    <w:p>
      <w:pPr>
        <w:pStyle w:val="CaptionedFigure"/>
      </w:pPr>
      <w:r>
        <w:drawing>
          <wp:inline>
            <wp:extent cx="5334000" cy="4238210"/>
            <wp:effectExtent b="0" l="0" r="0" t="0"/>
            <wp:docPr descr="Пароль сброшен" title="" id="52" name="Picture"/>
            <a:graphic>
              <a:graphicData uri="http://schemas.openxmlformats.org/drawingml/2006/picture">
                <pic:pic>
                  <pic:nvPicPr>
                    <pic:cNvPr descr="image/20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Пароль сброшен</w:t>
      </w:r>
    </w:p>
    <w:p>
      <w:pPr>
        <w:pStyle w:val="BodyText"/>
      </w:pPr>
      <w:r>
        <w:t xml:space="preserve">Получили дамп хешей учетных записей контроллера домена с помощью команды proxychains impacket-secretdump</w:t>
      </w:r>
      <w:r>
        <w:t xml:space="preserve"> </w:t>
      </w:r>
      <w:r>
        <w:t xml:space="preserve">‘AD$</w:t>
      </w:r>
      <w:r>
        <w:t xml:space="preserve">[</w:t>
      </w:r>
      <w:r>
        <w:rPr>
          <w:b/>
          <w:bCs/>
        </w:rPr>
        <w:t xml:space="preserve">10.10.10.20?</w:t>
      </w:r>
      <w:r>
        <w:t xml:space="preserve">]</w:t>
      </w:r>
      <w:r>
        <w:t xml:space="preserve">’</w:t>
      </w:r>
      <w:r>
        <w:t xml:space="preserve"> </w:t>
      </w:r>
      <w:r>
        <w:t xml:space="preserve">-no-pass (рис. 21).</w:t>
      </w:r>
    </w:p>
    <w:p>
      <w:pPr>
        <w:pStyle w:val="CaptionedFigure"/>
      </w:pPr>
      <w:r>
        <w:drawing>
          <wp:inline>
            <wp:extent cx="5052060" cy="3817620"/>
            <wp:effectExtent b="0" l="0" r="0" t="0"/>
            <wp:docPr descr="Дамп хешей" title="" id="55" name="Picture"/>
            <a:graphic>
              <a:graphicData uri="http://schemas.openxmlformats.org/drawingml/2006/picture">
                <pic:pic>
                  <pic:nvPicPr>
                    <pic:cNvPr descr="image/21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81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Дамп хешей</w:t>
      </w:r>
    </w:p>
    <w:p>
      <w:pPr>
        <w:pStyle w:val="BodyText"/>
      </w:pPr>
      <w:r>
        <w:t xml:space="preserve">Получили сессию с контроллером домена, указав обязательные параметры модуля (рис. 22).</w:t>
      </w:r>
    </w:p>
    <w:p>
      <w:pPr>
        <w:pStyle w:val="CaptionedFigure"/>
      </w:pPr>
      <w:r>
        <w:drawing>
          <wp:inline>
            <wp:extent cx="4853940" cy="845819"/>
            <wp:effectExtent b="0" l="0" r="0" t="0"/>
            <wp:docPr descr="Сессия с контроллером" title="" id="58" name="Picture"/>
            <a:graphic>
              <a:graphicData uri="http://schemas.openxmlformats.org/drawingml/2006/picture">
                <pic:pic>
                  <pic:nvPicPr>
                    <pic:cNvPr descr="image/22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845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Сессия с контроллером</w:t>
      </w:r>
    </w:p>
    <w:p>
      <w:pPr>
        <w:pStyle w:val="BodyText"/>
      </w:pPr>
      <w:r>
        <w:t xml:space="preserve">В активной meterpreter-сессии перешли в shell-оболочку (рис. 23).</w:t>
      </w:r>
    </w:p>
    <w:p>
      <w:pPr>
        <w:pStyle w:val="CaptionedFigure"/>
      </w:pPr>
      <w:r>
        <w:drawing>
          <wp:inline>
            <wp:extent cx="2293620" cy="1021080"/>
            <wp:effectExtent b="0" l="0" r="0" t="0"/>
            <wp:docPr descr="Переход в оболочку" title="" id="61" name="Picture"/>
            <a:graphic>
              <a:graphicData uri="http://schemas.openxmlformats.org/drawingml/2006/picture">
                <pic:pic>
                  <pic:nvPicPr>
                    <pic:cNvPr descr="image/23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оболочку</w:t>
      </w:r>
    </w:p>
    <w:p>
      <w:pPr>
        <w:pStyle w:val="BodyText"/>
      </w:pPr>
      <w:r>
        <w:t xml:space="preserve">С помощью команды net user /domain вывели список всех доменных пользователей, далее вывели полную информацию о пользователе «Flag». В результате получили флаг в поле описания пользователя (рис. 24).</w:t>
      </w:r>
    </w:p>
    <w:p>
      <w:pPr>
        <w:pStyle w:val="CaptionedFigure"/>
      </w:pPr>
      <w:r>
        <w:drawing>
          <wp:inline>
            <wp:extent cx="3848100" cy="3436620"/>
            <wp:effectExtent b="0" l="0" r="0" t="0"/>
            <wp:docPr descr="Получение флага" title="" id="64" name="Picture"/>
            <a:graphic>
              <a:graphicData uri="http://schemas.openxmlformats.org/drawingml/2006/picture">
                <pic:pic>
                  <pic:nvPicPr>
                    <pic:cNvPr descr="image/24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43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флага</w:t>
      </w:r>
    </w:p>
    <w:p>
      <w:pPr>
        <w:pStyle w:val="BodyText"/>
      </w:pPr>
      <w:r>
        <w:t xml:space="preserve">Результат (рис. 25).</w:t>
      </w:r>
    </w:p>
    <w:p>
      <w:pPr>
        <w:pStyle w:val="CaptionedFigure"/>
      </w:pPr>
      <w:r>
        <w:drawing>
          <wp:inline>
            <wp:extent cx="2682240" cy="2141220"/>
            <wp:effectExtent b="0" l="0" r="0" t="0"/>
            <wp:docPr descr="флаг правильный" title="" id="67" name="Picture"/>
            <a:graphic>
              <a:graphicData uri="http://schemas.openxmlformats.org/drawingml/2006/picture">
                <pic:pic>
                  <pic:nvPicPr>
                    <pic:cNvPr descr="image/2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флаг правильный</w:t>
      </w:r>
    </w:p>
    <w:bookmarkEnd w:id="69"/>
    <w:bookmarkEnd w:id="70"/>
    <w:bookmarkStart w:id="7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мы смогли получить доступ во внутреннюю сеть через узел и получить флаг.</w:t>
      </w:r>
    </w:p>
    <w:bookmarkStart w:id="71" w:name="refs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24" Target="media/rId24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66" Target="media/rId66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Пронякова Ольга Максимовна</dc:creator>
  <dc:language>ru-RU</dc:language>
  <cp:keywords/>
  <dcterms:created xsi:type="dcterms:W3CDTF">2025-11-13T14:27:11Z</dcterms:created>
  <dcterms:modified xsi:type="dcterms:W3CDTF">2025-11-13T14:27:11Z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Кибербезопасность предприятия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